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36458221" w14:textId="307A700E" w:rsidR="00667B33" w:rsidRPr="00EB0252" w:rsidRDefault="000B77F0" w:rsidP="0014775A">
      <w:pPr>
        <w:spacing w:after="0"/>
        <w:jc w:val="center"/>
        <w:rPr>
          <w:rFonts w:ascii="Arial" w:hAnsi="Arial" w:cs="Arial"/>
          <w:b/>
          <w:bCs/>
          <w:lang w:val="es-ES"/>
        </w:rPr>
      </w:pPr>
      <w:r w:rsidRPr="00EB0252">
        <w:rPr>
          <w:rFonts w:ascii="Arial" w:hAnsi="Arial" w:cs="Arial"/>
          <w:b/>
          <w:bCs/>
          <w:lang w:val="es-ES"/>
        </w:rPr>
        <w:t>Guía para el fortalecimiento de</w:t>
      </w:r>
      <w:r w:rsidR="00FD1B58" w:rsidRPr="00EB0252">
        <w:rPr>
          <w:rFonts w:ascii="Arial" w:hAnsi="Arial" w:cs="Arial"/>
          <w:b/>
          <w:bCs/>
          <w:lang w:val="es-ES"/>
        </w:rPr>
        <w:t xml:space="preserve"> </w:t>
      </w:r>
      <w:r w:rsidRPr="00EB0252">
        <w:rPr>
          <w:rFonts w:ascii="Arial" w:hAnsi="Arial" w:cs="Arial"/>
          <w:b/>
          <w:bCs/>
          <w:lang w:val="es-ES"/>
        </w:rPr>
        <w:t xml:space="preserve">aprendizajes </w:t>
      </w:r>
      <w:r w:rsidR="00FD1B58" w:rsidRPr="00EB0252">
        <w:rPr>
          <w:rFonts w:ascii="Arial" w:hAnsi="Arial" w:cs="Arial"/>
          <w:b/>
          <w:bCs/>
          <w:lang w:val="es-ES"/>
        </w:rPr>
        <w:t xml:space="preserve">con menor nivel de desempeño </w:t>
      </w:r>
      <w:r w:rsidR="00577638" w:rsidRPr="00EB0252">
        <w:rPr>
          <w:rFonts w:ascii="Arial" w:hAnsi="Arial" w:cs="Arial"/>
          <w:b/>
          <w:bCs/>
          <w:lang w:val="es-ES"/>
        </w:rPr>
        <w:t xml:space="preserve">según resultados de las </w:t>
      </w:r>
      <w:r w:rsidR="009D2F90" w:rsidRPr="00EB0252">
        <w:rPr>
          <w:rFonts w:ascii="Arial" w:hAnsi="Arial" w:cs="Arial"/>
          <w:b/>
          <w:bCs/>
          <w:lang w:val="es-ES"/>
        </w:rPr>
        <w:t>PNE</w:t>
      </w:r>
      <w:r w:rsidR="00577638" w:rsidRPr="00EB0252">
        <w:rPr>
          <w:rFonts w:ascii="Arial" w:hAnsi="Arial" w:cs="Arial"/>
          <w:b/>
          <w:bCs/>
          <w:lang w:val="es-ES"/>
        </w:rPr>
        <w:t xml:space="preserve"> diagnóstica</w:t>
      </w:r>
      <w:r w:rsidR="009D2F90" w:rsidRPr="00EB0252">
        <w:rPr>
          <w:rFonts w:ascii="Arial" w:hAnsi="Arial" w:cs="Arial"/>
          <w:b/>
          <w:bCs/>
          <w:lang w:val="es-ES"/>
        </w:rPr>
        <w:t>s</w:t>
      </w:r>
    </w:p>
    <w:tbl>
      <w:tblPr>
        <w:tblStyle w:val="Tablaconcuadrcula"/>
        <w:tblW w:w="10348" w:type="dxa"/>
        <w:tblInd w:w="-714" w:type="dxa"/>
        <w:tblLook w:val="04A0" w:firstRow="1" w:lastRow="0" w:firstColumn="1" w:lastColumn="0" w:noHBand="0" w:noVBand="1"/>
      </w:tblPr>
      <w:tblGrid>
        <w:gridCol w:w="3757"/>
        <w:gridCol w:w="2930"/>
        <w:gridCol w:w="3661"/>
      </w:tblGrid>
      <w:tr w:rsidR="007D06AA" w:rsidRPr="00EC397E" w14:paraId="2AF97313" w14:textId="77777777" w:rsidTr="00980E2B">
        <w:tc>
          <w:tcPr>
            <w:tcW w:w="10348" w:type="dxa"/>
            <w:gridSpan w:val="3"/>
          </w:tcPr>
          <w:p w14:paraId="6043FACD" w14:textId="0EC52D51" w:rsidR="007D06AA" w:rsidRPr="00EC397E" w:rsidRDefault="007D06AA" w:rsidP="008D64D1">
            <w:pPr>
              <w:jc w:val="center"/>
              <w:rPr>
                <w:rFonts w:cstheme="minorHAnsi"/>
                <w:b/>
                <w:bCs/>
                <w:lang w:val="es-ES"/>
              </w:rPr>
            </w:pPr>
            <w:r w:rsidRPr="00EC397E">
              <w:rPr>
                <w:rFonts w:cstheme="minorHAnsi"/>
                <w:b/>
                <w:bCs/>
                <w:lang w:val="es-ES"/>
              </w:rPr>
              <w:lastRenderedPageBreak/>
              <w:t>Datos generales</w:t>
            </w:r>
          </w:p>
        </w:tc>
      </w:tr>
      <w:tr w:rsidR="009D2F90" w:rsidRPr="00EC397E" w14:paraId="7692DC25" w14:textId="77777777" w:rsidTr="00980E2B">
        <w:tc>
          <w:tcPr>
            <w:tcW w:w="3757" w:type="dxa"/>
          </w:tcPr>
          <w:p w14:paraId="0D981CE8" w14:textId="203958B1" w:rsidR="009D2F90" w:rsidRPr="00EC397E" w:rsidRDefault="009D2F90" w:rsidP="003D4638">
            <w:pPr>
              <w:rPr>
                <w:rFonts w:cstheme="minorHAnsi"/>
              </w:rPr>
            </w:pPr>
            <w:r w:rsidRPr="00EC397E">
              <w:rPr>
                <w:rFonts w:cstheme="minorHAnsi"/>
              </w:rPr>
              <w:t>• Asignatura</w:t>
            </w:r>
            <w:r w:rsidR="0014775A" w:rsidRPr="00EC397E">
              <w:rPr>
                <w:rFonts w:cstheme="minorHAnsi"/>
              </w:rPr>
              <w:t>: Química</w:t>
            </w:r>
          </w:p>
          <w:p w14:paraId="5D6A6EBC" w14:textId="77777777" w:rsidR="009D2F90" w:rsidRPr="00EC397E" w:rsidRDefault="009D2F90" w:rsidP="003D4638">
            <w:pPr>
              <w:rPr>
                <w:rFonts w:cstheme="minorHAnsi"/>
              </w:rPr>
            </w:pPr>
          </w:p>
        </w:tc>
        <w:tc>
          <w:tcPr>
            <w:tcW w:w="2930" w:type="dxa"/>
          </w:tcPr>
          <w:p w14:paraId="191F01BA" w14:textId="51A9E57A" w:rsidR="009D2F90" w:rsidRPr="00EC397E" w:rsidRDefault="009D2F90" w:rsidP="003D4638">
            <w:pPr>
              <w:rPr>
                <w:rFonts w:cstheme="minorHAnsi"/>
              </w:rPr>
            </w:pPr>
            <w:r w:rsidRPr="00EC397E">
              <w:rPr>
                <w:rFonts w:cstheme="minorHAnsi"/>
              </w:rPr>
              <w:t>• Nivel educativo</w:t>
            </w:r>
            <w:r w:rsidR="00166DEC" w:rsidRPr="00EC397E">
              <w:rPr>
                <w:rFonts w:cstheme="minorHAnsi"/>
              </w:rPr>
              <w:t>: Décimo</w:t>
            </w:r>
          </w:p>
        </w:tc>
        <w:tc>
          <w:tcPr>
            <w:tcW w:w="3661" w:type="dxa"/>
          </w:tcPr>
          <w:p w14:paraId="3EC06942" w14:textId="434704C8" w:rsidR="009D2F90" w:rsidRPr="00EC397E" w:rsidRDefault="009D2F90" w:rsidP="002A576E">
            <w:pPr>
              <w:rPr>
                <w:rFonts w:cstheme="minorHAnsi"/>
              </w:rPr>
            </w:pPr>
            <w:r w:rsidRPr="00EC397E">
              <w:rPr>
                <w:rFonts w:cstheme="minorHAnsi"/>
              </w:rPr>
              <w:t>• Tiempo estimado</w:t>
            </w:r>
            <w:r w:rsidR="00CC32CE">
              <w:rPr>
                <w:rFonts w:cstheme="minorHAnsi"/>
              </w:rPr>
              <w:t>: 8 lecciones</w:t>
            </w:r>
          </w:p>
        </w:tc>
      </w:tr>
      <w:tr w:rsidR="007D06AA" w:rsidRPr="00EC397E" w14:paraId="59111FC7" w14:textId="77777777" w:rsidTr="00980E2B">
        <w:tc>
          <w:tcPr>
            <w:tcW w:w="10348" w:type="dxa"/>
            <w:gridSpan w:val="3"/>
          </w:tcPr>
          <w:p w14:paraId="7B14691B" w14:textId="2D0554D5" w:rsidR="007D06AA" w:rsidRPr="00EC397E" w:rsidRDefault="007D06AA" w:rsidP="0044288F">
            <w:pPr>
              <w:jc w:val="center"/>
              <w:rPr>
                <w:rFonts w:cstheme="minorHAnsi"/>
                <w:b/>
                <w:bCs/>
                <w:lang w:val="es-ES"/>
              </w:rPr>
            </w:pPr>
            <w:r w:rsidRPr="00EC397E">
              <w:rPr>
                <w:rFonts w:cstheme="minorHAnsi"/>
                <w:b/>
                <w:bCs/>
                <w:lang w:val="es-ES"/>
              </w:rPr>
              <w:t>Propósito</w:t>
            </w:r>
          </w:p>
        </w:tc>
      </w:tr>
      <w:tr w:rsidR="007D06AA" w:rsidRPr="00EC397E" w14:paraId="027FFC40" w14:textId="77777777" w:rsidTr="00980E2B">
        <w:tc>
          <w:tcPr>
            <w:tcW w:w="10348" w:type="dxa"/>
            <w:gridSpan w:val="3"/>
          </w:tcPr>
          <w:p w14:paraId="00FCEF96" w14:textId="77136EB9" w:rsidR="00FC0A2B" w:rsidRPr="00EC397E" w:rsidRDefault="0038546D" w:rsidP="005918BF">
            <w:pPr>
              <w:jc w:val="both"/>
              <w:rPr>
                <w:rFonts w:cstheme="minorHAnsi"/>
                <w:lang w:val="es-ES"/>
              </w:rPr>
            </w:pPr>
            <w:r w:rsidRPr="00EC397E">
              <w:rPr>
                <w:rFonts w:cstheme="minorHAnsi"/>
              </w:rPr>
              <w:t>Comprende la organización de los electrones en niveles, subniveles y orbitales, tanto gráfica como simbólicamente en su forma completa o abreviada, así como las estructuras de Lewis de los elementos representativos, respecto al comportamiento de cada elemento en la tabla periódica internacional según sus propiedades periódicas.</w:t>
            </w:r>
          </w:p>
        </w:tc>
      </w:tr>
      <w:tr w:rsidR="007D06AA" w:rsidRPr="00EC397E" w14:paraId="3AC063FB" w14:textId="77777777" w:rsidTr="00980E2B">
        <w:tc>
          <w:tcPr>
            <w:tcW w:w="10348" w:type="dxa"/>
            <w:gridSpan w:val="3"/>
          </w:tcPr>
          <w:p w14:paraId="02FCE3EB" w14:textId="371530D8" w:rsidR="0044288F" w:rsidRPr="00EC397E" w:rsidRDefault="0044288F" w:rsidP="0044288F">
            <w:pPr>
              <w:jc w:val="center"/>
              <w:rPr>
                <w:rFonts w:cstheme="minorHAnsi"/>
                <w:b/>
                <w:bCs/>
                <w:lang w:val="es-ES"/>
              </w:rPr>
            </w:pPr>
            <w:r w:rsidRPr="00EC397E">
              <w:rPr>
                <w:rFonts w:cstheme="minorHAnsi"/>
                <w:b/>
                <w:bCs/>
                <w:lang w:val="es-ES"/>
              </w:rPr>
              <w:t>Metodología por desarrollar</w:t>
            </w:r>
          </w:p>
        </w:tc>
      </w:tr>
      <w:tr w:rsidR="007D06AA" w:rsidRPr="00EC397E" w14:paraId="006A42D1" w14:textId="77777777" w:rsidTr="00980E2B">
        <w:tc>
          <w:tcPr>
            <w:tcW w:w="10348" w:type="dxa"/>
            <w:gridSpan w:val="3"/>
          </w:tcPr>
          <w:tbl>
            <w:tblPr>
              <w:tblW w:w="10090" w:type="dxa"/>
              <w:tblBorders>
                <w:top w:val="single" w:sz="6" w:space="0" w:color="CBD5E0"/>
                <w:left w:val="single" w:sz="6" w:space="0" w:color="CBD5E0"/>
                <w:bottom w:val="single" w:sz="6" w:space="0" w:color="CBD5E0"/>
                <w:right w:val="single" w:sz="6" w:space="0" w:color="CBD5E0"/>
                <w:insideH w:val="single" w:sz="6" w:space="0" w:color="CBD5E0"/>
                <w:insideV w:val="single" w:sz="6" w:space="0" w:color="CBD5E0"/>
              </w:tblBorders>
              <w:tblLayout w:type="fixed"/>
              <w:tblLook w:val="0600" w:firstRow="0" w:lastRow="0" w:firstColumn="0" w:lastColumn="0" w:noHBand="1" w:noVBand="1"/>
            </w:tblPr>
            <w:tblGrid>
              <w:gridCol w:w="2260"/>
              <w:gridCol w:w="7830"/>
            </w:tblGrid>
            <w:tr w:rsidR="00980E2B" w:rsidRPr="003C626B" w14:paraId="72DEE11A" w14:textId="77777777" w:rsidTr="00980E2B">
              <w:trPr>
                <w:tblHeader/>
              </w:trPr>
              <w:tc>
                <w:tcPr>
                  <w:tcW w:w="2260"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5521AB29" w14:textId="77777777" w:rsidR="00980E2B" w:rsidRPr="003C626B" w:rsidRDefault="00980E2B" w:rsidP="00980E2B">
                  <w:pPr>
                    <w:pBdr>
                      <w:top w:val="nil"/>
                      <w:left w:val="nil"/>
                      <w:bottom w:val="nil"/>
                      <w:right w:val="nil"/>
                      <w:between w:val="nil"/>
                    </w:pBdr>
                    <w:spacing w:before="150" w:after="150" w:line="300" w:lineRule="auto"/>
                    <w:rPr>
                      <w:rFonts w:cstheme="minorHAnsi"/>
                      <w:b/>
                      <w:bCs/>
                    </w:rPr>
                  </w:pPr>
                  <w:r w:rsidRPr="003C626B">
                    <w:rPr>
                      <w:rFonts w:cstheme="minorHAnsi"/>
                      <w:b/>
                      <w:bCs/>
                    </w:rPr>
                    <w:t>Etapa de la metodología indagatoria</w:t>
                  </w:r>
                </w:p>
              </w:tc>
              <w:tc>
                <w:tcPr>
                  <w:tcW w:w="7830"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07B0380A" w14:textId="77777777" w:rsidR="00980E2B" w:rsidRPr="003C626B" w:rsidRDefault="00980E2B" w:rsidP="00980E2B">
                  <w:pPr>
                    <w:pBdr>
                      <w:top w:val="nil"/>
                      <w:left w:val="nil"/>
                      <w:bottom w:val="nil"/>
                      <w:right w:val="nil"/>
                      <w:between w:val="nil"/>
                    </w:pBdr>
                    <w:spacing w:before="150" w:after="150" w:line="300" w:lineRule="auto"/>
                    <w:rPr>
                      <w:rFonts w:cstheme="minorHAnsi"/>
                      <w:b/>
                      <w:bCs/>
                    </w:rPr>
                  </w:pPr>
                  <w:r w:rsidRPr="003C626B">
                    <w:rPr>
                      <w:rFonts w:cstheme="minorHAnsi"/>
                      <w:b/>
                      <w:bCs/>
                    </w:rPr>
                    <w:t>Estrategias de mediación</w:t>
                  </w:r>
                </w:p>
                <w:p w14:paraId="0E627994" w14:textId="77777777" w:rsidR="00980E2B" w:rsidRPr="003C626B" w:rsidRDefault="00980E2B" w:rsidP="00980E2B">
                  <w:pPr>
                    <w:pBdr>
                      <w:top w:val="nil"/>
                      <w:left w:val="nil"/>
                      <w:bottom w:val="nil"/>
                      <w:right w:val="nil"/>
                      <w:between w:val="nil"/>
                    </w:pBdr>
                    <w:rPr>
                      <w:rFonts w:cstheme="minorHAnsi"/>
                    </w:rPr>
                  </w:pPr>
                  <w:r w:rsidRPr="003C626B">
                    <w:rPr>
                      <w:rFonts w:cstheme="minorHAnsi"/>
                    </w:rPr>
                    <w:t xml:space="preserve"> </w:t>
                  </w:r>
                </w:p>
              </w:tc>
            </w:tr>
            <w:tr w:rsidR="00980E2B" w:rsidRPr="003C626B" w14:paraId="073E2829" w14:textId="77777777" w:rsidTr="00980E2B">
              <w:tc>
                <w:tcPr>
                  <w:tcW w:w="226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6B6EA771" w14:textId="77777777" w:rsidR="00980E2B" w:rsidRPr="003C626B" w:rsidRDefault="00980E2B" w:rsidP="00980E2B">
                  <w:pPr>
                    <w:pBdr>
                      <w:top w:val="nil"/>
                      <w:left w:val="nil"/>
                      <w:bottom w:val="nil"/>
                      <w:right w:val="nil"/>
                      <w:between w:val="nil"/>
                    </w:pBdr>
                    <w:spacing w:before="150" w:after="150" w:line="300" w:lineRule="auto"/>
                    <w:rPr>
                      <w:rFonts w:cstheme="minorHAnsi"/>
                      <w:b/>
                      <w:bCs/>
                    </w:rPr>
                  </w:pPr>
                  <w:r w:rsidRPr="003C626B">
                    <w:rPr>
                      <w:rFonts w:cstheme="minorHAnsi"/>
                      <w:b/>
                      <w:bCs/>
                    </w:rPr>
                    <w:t>Focalización</w:t>
                  </w:r>
                </w:p>
              </w:tc>
              <w:tc>
                <w:tcPr>
                  <w:tcW w:w="783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0F1A83C7" w14:textId="77777777" w:rsidR="00980E2B" w:rsidRPr="003C626B" w:rsidRDefault="00980E2B" w:rsidP="00980E2B">
                  <w:pPr>
                    <w:pBdr>
                      <w:top w:val="nil"/>
                      <w:left w:val="nil"/>
                      <w:bottom w:val="nil"/>
                      <w:right w:val="nil"/>
                      <w:between w:val="nil"/>
                    </w:pBdr>
                    <w:spacing w:after="0" w:line="276" w:lineRule="auto"/>
                    <w:jc w:val="both"/>
                    <w:rPr>
                      <w:rFonts w:cstheme="minorHAnsi"/>
                    </w:rPr>
                  </w:pPr>
                  <w:r w:rsidRPr="003C626B">
                    <w:rPr>
                      <w:rFonts w:cstheme="minorHAnsi"/>
                    </w:rPr>
                    <w:t>Se presenta una imagen de un panel solar sofisticado o de un cable conductor superconductor de alta fidelidad. Se interroga al grupo: ¿Qué ocurre a nivel electrónico dentro de un material para que sea considerado un semiconductor de datos o un superconductor de energía? ¿Cómo se organizan espacialmente los electrones de las capas más externas?</w:t>
                  </w:r>
                </w:p>
              </w:tc>
            </w:tr>
            <w:tr w:rsidR="00980E2B" w:rsidRPr="003C626B" w14:paraId="688C5257" w14:textId="77777777" w:rsidTr="00980E2B">
              <w:tc>
                <w:tcPr>
                  <w:tcW w:w="226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76976F94" w14:textId="77777777" w:rsidR="00980E2B" w:rsidRPr="003C626B" w:rsidRDefault="00980E2B" w:rsidP="00980E2B">
                  <w:pPr>
                    <w:pBdr>
                      <w:top w:val="nil"/>
                      <w:left w:val="nil"/>
                      <w:bottom w:val="nil"/>
                      <w:right w:val="nil"/>
                      <w:between w:val="nil"/>
                    </w:pBdr>
                    <w:spacing w:before="150" w:after="150" w:line="300" w:lineRule="auto"/>
                    <w:rPr>
                      <w:rFonts w:cstheme="minorHAnsi"/>
                      <w:b/>
                      <w:bCs/>
                    </w:rPr>
                  </w:pPr>
                  <w:r w:rsidRPr="003C626B">
                    <w:rPr>
                      <w:rFonts w:cstheme="minorHAnsi"/>
                      <w:b/>
                      <w:bCs/>
                    </w:rPr>
                    <w:t>Exploración</w:t>
                  </w:r>
                </w:p>
              </w:tc>
              <w:tc>
                <w:tcPr>
                  <w:tcW w:w="783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2AA073EF" w14:textId="611B83B1" w:rsidR="00980E2B" w:rsidRPr="003C626B" w:rsidRDefault="00980E2B" w:rsidP="00980E2B">
                  <w:pPr>
                    <w:pBdr>
                      <w:top w:val="nil"/>
                      <w:left w:val="nil"/>
                      <w:bottom w:val="nil"/>
                      <w:right w:val="nil"/>
                      <w:between w:val="nil"/>
                    </w:pBdr>
                    <w:spacing w:after="0" w:line="276" w:lineRule="auto"/>
                    <w:jc w:val="both"/>
                    <w:rPr>
                      <w:rFonts w:cstheme="minorHAnsi"/>
                    </w:rPr>
                  </w:pPr>
                  <w:r w:rsidRPr="003C626B">
                    <w:rPr>
                      <w:rFonts w:cstheme="minorHAnsi"/>
                    </w:rPr>
                    <w:t>Utilizando el recurso multimedia del MEP Tabla Periódica y Configuraciones Electrónicas</w:t>
                  </w:r>
                  <w:r w:rsidR="00AE47D1">
                    <w:rPr>
                      <w:rFonts w:cstheme="minorHAnsi"/>
                    </w:rPr>
                    <w:t xml:space="preserve">: </w:t>
                  </w:r>
                  <w:hyperlink r:id="rId8" w:history="1">
                    <w:r w:rsidR="00AE47D1" w:rsidRPr="00AE47D1">
                      <w:rPr>
                        <w:rStyle w:val="Hipervnculo"/>
                        <w:rFonts w:cstheme="minorHAnsi"/>
                      </w:rPr>
                      <w:t>Tabla periódica: configuraciones electrónicas | Ministerio de Educación Pública</w:t>
                    </w:r>
                  </w:hyperlink>
                  <w:r w:rsidRPr="003C626B">
                    <w:rPr>
                      <w:rFonts w:cstheme="minorHAnsi"/>
                    </w:rPr>
                    <w:t xml:space="preserve">, los estudiantes indagan sobre los principios de exclusión de Pauli, la regla de Hund y el principio de Aufbau. En subgrupos, resuelven la ruta de distribución gráfica de electrones empleando el sistema cuántico </w:t>
                  </w:r>
                  <w:proofErr w:type="spellStart"/>
                  <w:r w:rsidRPr="003C626B">
                    <w:rPr>
                      <w:rFonts w:cstheme="minorHAnsi"/>
                      <w:i/>
                      <w:iCs/>
                    </w:rPr>
                    <w:t>nl</w:t>
                  </w:r>
                  <w:r w:rsidRPr="003C626B">
                    <w:rPr>
                      <w:rFonts w:cstheme="minorHAnsi"/>
                      <w:i/>
                      <w:iCs/>
                      <w:vertAlign w:val="superscript"/>
                    </w:rPr>
                    <w:t>x</w:t>
                  </w:r>
                  <w:proofErr w:type="spellEnd"/>
                  <w:r w:rsidRPr="003C626B">
                    <w:rPr>
                      <w:rFonts w:cstheme="minorHAnsi"/>
                    </w:rPr>
                    <w:t xml:space="preserve"> para diversos elementos químicos, reconociendo de manera precisa el electrón diferenciante y los electrones de valencia. Identifican, asimismo, las anomalías de configuración en los metales de transición de uso industrial.</w:t>
                  </w:r>
                </w:p>
              </w:tc>
            </w:tr>
            <w:tr w:rsidR="00980E2B" w:rsidRPr="003C626B" w14:paraId="5E3B4F2A" w14:textId="77777777" w:rsidTr="00980E2B">
              <w:tc>
                <w:tcPr>
                  <w:tcW w:w="226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6A3FCE7C" w14:textId="77777777" w:rsidR="00980E2B" w:rsidRPr="003C626B" w:rsidRDefault="00980E2B" w:rsidP="00980E2B">
                  <w:pPr>
                    <w:pBdr>
                      <w:top w:val="nil"/>
                      <w:left w:val="nil"/>
                      <w:bottom w:val="nil"/>
                      <w:right w:val="nil"/>
                      <w:between w:val="nil"/>
                    </w:pBdr>
                    <w:spacing w:before="150" w:after="150" w:line="300" w:lineRule="auto"/>
                    <w:rPr>
                      <w:rFonts w:cstheme="minorHAnsi"/>
                      <w:b/>
                      <w:bCs/>
                    </w:rPr>
                  </w:pPr>
                  <w:r w:rsidRPr="003C626B">
                    <w:rPr>
                      <w:rFonts w:cstheme="minorHAnsi"/>
                      <w:b/>
                      <w:bCs/>
                    </w:rPr>
                    <w:t>Reflexión y Contrastación</w:t>
                  </w:r>
                </w:p>
              </w:tc>
              <w:tc>
                <w:tcPr>
                  <w:tcW w:w="783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7C7058ED" w14:textId="1BCCE429" w:rsidR="0096582A" w:rsidRPr="003C626B" w:rsidRDefault="0096582A" w:rsidP="0096582A">
                  <w:pPr>
                    <w:pBdr>
                      <w:top w:val="nil"/>
                      <w:left w:val="nil"/>
                      <w:bottom w:val="nil"/>
                      <w:right w:val="nil"/>
                      <w:between w:val="nil"/>
                    </w:pBdr>
                    <w:spacing w:after="0" w:line="276" w:lineRule="auto"/>
                    <w:jc w:val="both"/>
                    <w:rPr>
                      <w:rFonts w:cstheme="minorHAnsi"/>
                    </w:rPr>
                  </w:pPr>
                  <w:r w:rsidRPr="003C626B">
                    <w:rPr>
                      <w:rFonts w:cstheme="minorHAnsi"/>
                    </w:rPr>
                    <w:t xml:space="preserve">Cada subgrupo proyecta o dibuja en la pizarra los diagramas de orbitales y configuraciones electrónicas en formato </w:t>
                  </w:r>
                  <w:proofErr w:type="spellStart"/>
                  <w:r w:rsidRPr="003C626B">
                    <w:rPr>
                      <w:rFonts w:cstheme="minorHAnsi"/>
                      <w:i/>
                      <w:iCs/>
                    </w:rPr>
                    <w:t>nl</w:t>
                  </w:r>
                  <w:r w:rsidRPr="003C626B">
                    <w:rPr>
                      <w:rFonts w:cstheme="minorHAnsi"/>
                      <w:i/>
                      <w:iCs/>
                      <w:vertAlign w:val="superscript"/>
                    </w:rPr>
                    <w:t>x</w:t>
                  </w:r>
                  <w:proofErr w:type="spellEnd"/>
                  <w:r w:rsidRPr="003C626B">
                    <w:rPr>
                      <w:rFonts w:cstheme="minorHAnsi"/>
                    </w:rPr>
                    <w:t xml:space="preserve"> que resolvieron durante la exploración.</w:t>
                  </w:r>
                </w:p>
                <w:p w14:paraId="7B16CFD5" w14:textId="352F2BF0" w:rsidR="0096582A" w:rsidRPr="003C626B" w:rsidRDefault="0096582A" w:rsidP="0096582A">
                  <w:pPr>
                    <w:pBdr>
                      <w:top w:val="nil"/>
                      <w:left w:val="nil"/>
                      <w:bottom w:val="nil"/>
                      <w:right w:val="nil"/>
                      <w:between w:val="nil"/>
                    </w:pBdr>
                    <w:spacing w:after="0" w:line="276" w:lineRule="auto"/>
                    <w:jc w:val="both"/>
                    <w:rPr>
                      <w:rFonts w:cstheme="minorHAnsi"/>
                    </w:rPr>
                  </w:pPr>
                  <w:r w:rsidRPr="003C626B">
                    <w:rPr>
                      <w:rFonts w:cstheme="minorHAnsi"/>
                    </w:rPr>
                    <w:t>La persona docente distribuye gráficos científicos e institucionales con datos numéricos reales sobre radio atómico, electronegatividad y energía de ionización.</w:t>
                  </w:r>
                </w:p>
                <w:p w14:paraId="0F5A6B2D" w14:textId="7870FD2E" w:rsidR="0096582A" w:rsidRPr="003C626B" w:rsidRDefault="0096582A" w:rsidP="0096582A">
                  <w:pPr>
                    <w:pBdr>
                      <w:top w:val="nil"/>
                      <w:left w:val="nil"/>
                      <w:bottom w:val="nil"/>
                      <w:right w:val="nil"/>
                      <w:between w:val="nil"/>
                    </w:pBdr>
                    <w:spacing w:after="0" w:line="276" w:lineRule="auto"/>
                    <w:jc w:val="both"/>
                    <w:rPr>
                      <w:rFonts w:cstheme="minorHAnsi"/>
                    </w:rPr>
                  </w:pPr>
                  <w:r w:rsidRPr="003C626B">
                    <w:rPr>
                      <w:rFonts w:cstheme="minorHAnsi"/>
                    </w:rPr>
                    <w:t xml:space="preserve">Se abre un espacio de debate moderado donde los estudiantes confrontan sus configuraciones con las gráficas, deduciendo de forma guiada la regla fundamental: </w:t>
                  </w:r>
                  <w:r w:rsidRPr="003C626B">
                    <w:rPr>
                      <w:rFonts w:cstheme="minorHAnsi"/>
                      <w:i/>
                      <w:iCs/>
                    </w:rPr>
                    <w:t>A mayor atracción del núcleo sobre los electrones de valencia, menor es el radio del átomo y mayor su electronegatividad</w:t>
                  </w:r>
                  <w:r w:rsidRPr="003C626B">
                    <w:rPr>
                      <w:rFonts w:cstheme="minorHAnsi"/>
                    </w:rPr>
                    <w:t>.</w:t>
                  </w:r>
                </w:p>
                <w:p w14:paraId="78F3D554" w14:textId="501B4E87" w:rsidR="0096582A" w:rsidRPr="003C626B" w:rsidRDefault="0096582A" w:rsidP="0096582A">
                  <w:pPr>
                    <w:pBdr>
                      <w:top w:val="nil"/>
                      <w:left w:val="nil"/>
                      <w:bottom w:val="nil"/>
                      <w:right w:val="nil"/>
                      <w:between w:val="nil"/>
                    </w:pBdr>
                    <w:spacing w:after="0" w:line="276" w:lineRule="auto"/>
                    <w:jc w:val="both"/>
                    <w:rPr>
                      <w:rFonts w:cstheme="minorHAnsi"/>
                    </w:rPr>
                  </w:pPr>
                  <w:r w:rsidRPr="003C626B">
                    <w:rPr>
                      <w:rFonts w:cstheme="minorHAnsi"/>
                    </w:rPr>
                    <w:lastRenderedPageBreak/>
                    <w:t>La persona docente introduce formalmente el consenso científico, institucionaliza las definiciones de los principios cuánticos y puntualiza las anomalías de los metales de transición de uso industrial. Se contrasta esta teoría explicando cómo la configuración externa del Silicio (Z=14) y del Germanio (Z=32) fundamenta su comportamiento macroscópico como semiconductores en la electrónica contemporánea.</w:t>
                  </w:r>
                </w:p>
                <w:p w14:paraId="2CE1670E" w14:textId="0EB6232E" w:rsidR="00980E2B" w:rsidRPr="003C626B" w:rsidRDefault="00980E2B" w:rsidP="00980E2B">
                  <w:pPr>
                    <w:pBdr>
                      <w:top w:val="nil"/>
                      <w:left w:val="nil"/>
                      <w:bottom w:val="nil"/>
                      <w:right w:val="nil"/>
                      <w:between w:val="nil"/>
                    </w:pBdr>
                    <w:spacing w:after="0" w:line="276" w:lineRule="auto"/>
                    <w:jc w:val="both"/>
                    <w:rPr>
                      <w:rFonts w:cstheme="minorHAnsi"/>
                    </w:rPr>
                  </w:pPr>
                </w:p>
              </w:tc>
            </w:tr>
            <w:tr w:rsidR="00980E2B" w:rsidRPr="003C626B" w14:paraId="43F09C92" w14:textId="77777777" w:rsidTr="00980E2B">
              <w:tc>
                <w:tcPr>
                  <w:tcW w:w="226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2458D840" w14:textId="77777777" w:rsidR="00980E2B" w:rsidRPr="003C626B" w:rsidRDefault="00980E2B" w:rsidP="00980E2B">
                  <w:pPr>
                    <w:pBdr>
                      <w:top w:val="nil"/>
                      <w:left w:val="nil"/>
                      <w:bottom w:val="nil"/>
                      <w:right w:val="nil"/>
                      <w:between w:val="nil"/>
                    </w:pBdr>
                    <w:spacing w:before="150" w:after="150" w:line="300" w:lineRule="auto"/>
                    <w:rPr>
                      <w:rFonts w:cstheme="minorHAnsi"/>
                      <w:b/>
                      <w:bCs/>
                    </w:rPr>
                  </w:pPr>
                  <w:r w:rsidRPr="003C626B">
                    <w:rPr>
                      <w:rFonts w:cstheme="minorHAnsi"/>
                      <w:b/>
                      <w:bCs/>
                    </w:rPr>
                    <w:lastRenderedPageBreak/>
                    <w:t>Aplicación</w:t>
                  </w:r>
                </w:p>
              </w:tc>
              <w:tc>
                <w:tcPr>
                  <w:tcW w:w="783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55533C21" w14:textId="77777777" w:rsidR="003C626B" w:rsidRPr="003C626B" w:rsidRDefault="003C626B" w:rsidP="003D12EF">
                  <w:pPr>
                    <w:pStyle w:val="NormalWeb"/>
                    <w:spacing w:before="0" w:beforeAutospacing="0" w:after="0" w:afterAutospacing="0"/>
                    <w:jc w:val="both"/>
                    <w:rPr>
                      <w:rFonts w:asciiTheme="minorHAnsi" w:hAnsiTheme="minorHAnsi" w:cstheme="minorHAnsi"/>
                      <w:sz w:val="22"/>
                      <w:szCs w:val="22"/>
                    </w:rPr>
                  </w:pPr>
                  <w:r w:rsidRPr="003C626B">
                    <w:rPr>
                      <w:rFonts w:asciiTheme="minorHAnsi" w:hAnsiTheme="minorHAnsi" w:cstheme="minorHAnsi"/>
                      <w:sz w:val="22"/>
                      <w:szCs w:val="22"/>
                    </w:rPr>
                    <w:t xml:space="preserve">Para evitar la resolución mecánica de prácticas rutinarias de aula, se plantea una situación problema de contexto real: </w:t>
                  </w:r>
                  <w:r w:rsidRPr="003C626B">
                    <w:rPr>
                      <w:rFonts w:asciiTheme="minorHAnsi" w:hAnsiTheme="minorHAnsi" w:cstheme="minorHAnsi"/>
                      <w:i/>
                      <w:iCs/>
                      <w:sz w:val="22"/>
                      <w:szCs w:val="22"/>
                    </w:rPr>
                    <w:t>Una empresa nacional de energías limpias debe elegir el elemento químico ideal para fabricar una nueva generación de celdas fotovoltaicas estables y de alta eficiencia.</w:t>
                  </w:r>
                </w:p>
                <w:p w14:paraId="3B2F41C3" w14:textId="77777777" w:rsidR="003D12EF" w:rsidRDefault="003C626B" w:rsidP="003D12EF">
                  <w:pPr>
                    <w:spacing w:after="0"/>
                    <w:jc w:val="both"/>
                    <w:rPr>
                      <w:rFonts w:cstheme="minorHAnsi"/>
                    </w:rPr>
                  </w:pPr>
                  <w:r w:rsidRPr="003C626B">
                    <w:rPr>
                      <w:rFonts w:cstheme="minorHAnsi"/>
                    </w:rPr>
                    <w:t>De forma individual, cada estudiante asume el rol de asesor técnico y recibe un par de elementos químicos candidatos (elementos representativos del entorno y metales de transición de la industria).</w:t>
                  </w:r>
                  <w:r w:rsidR="003D12EF">
                    <w:rPr>
                      <w:rFonts w:cstheme="minorHAnsi"/>
                    </w:rPr>
                    <w:t xml:space="preserve"> </w:t>
                  </w:r>
                </w:p>
                <w:p w14:paraId="120FF970" w14:textId="77777777" w:rsidR="003D12EF" w:rsidRDefault="003C626B" w:rsidP="003D12EF">
                  <w:pPr>
                    <w:spacing w:after="0"/>
                    <w:jc w:val="both"/>
                    <w:rPr>
                      <w:rFonts w:cstheme="minorHAnsi"/>
                    </w:rPr>
                  </w:pPr>
                  <w:r w:rsidRPr="00A67FEC">
                    <w:rPr>
                      <w:rFonts w:cstheme="minorHAnsi"/>
                    </w:rPr>
                    <w:t xml:space="preserve">En su cuaderno de química, el estudiante debe modelar y resolver de manera meticulosa: la configuración electrónica completa, la notación abreviada o de </w:t>
                  </w:r>
                  <w:proofErr w:type="spellStart"/>
                  <w:r w:rsidRPr="00A67FEC">
                    <w:rPr>
                      <w:rFonts w:cstheme="minorHAnsi"/>
                    </w:rPr>
                    <w:t>Kernel</w:t>
                  </w:r>
                  <w:proofErr w:type="spellEnd"/>
                  <w:r w:rsidRPr="00A67FEC">
                    <w:rPr>
                      <w:rFonts w:cstheme="minorHAnsi"/>
                    </w:rPr>
                    <w:t>, la identificación gráfica del electrón diferenciante y la estructura de puntos de Lewis de sus candidatos</w:t>
                  </w:r>
                  <w:r w:rsidRPr="003C626B">
                    <w:rPr>
                      <w:rFonts w:cstheme="minorHAnsi"/>
                    </w:rPr>
                    <w:t>.</w:t>
                  </w:r>
                  <w:r w:rsidR="003D12EF">
                    <w:rPr>
                      <w:rFonts w:cstheme="minorHAnsi"/>
                    </w:rPr>
                    <w:t xml:space="preserve"> </w:t>
                  </w:r>
                </w:p>
                <w:p w14:paraId="0B54814A" w14:textId="1EFAAEC8" w:rsidR="00980E2B" w:rsidRPr="003C626B" w:rsidRDefault="003C626B" w:rsidP="003D12EF">
                  <w:pPr>
                    <w:spacing w:after="0"/>
                    <w:jc w:val="both"/>
                    <w:rPr>
                      <w:rFonts w:cstheme="minorHAnsi"/>
                    </w:rPr>
                  </w:pPr>
                  <w:r w:rsidRPr="003C626B">
                    <w:rPr>
                      <w:rFonts w:cstheme="minorHAnsi"/>
                    </w:rPr>
                    <w:t>Como cierre y producto de la lección, el estudiante redacta un dictamen técnico donde justifica su elección final, estableciendo un nexo explicativo explícito entre la cantidad de electrones de valencia disponibles, la ubicación periódica del elemento y su reactividad potencial o estabilidad química frente al entorno.</w:t>
                  </w:r>
                </w:p>
              </w:tc>
            </w:tr>
          </w:tbl>
          <w:p w14:paraId="01C868D4" w14:textId="6C8EE9DD" w:rsidR="007D06AA" w:rsidRPr="003C626B" w:rsidRDefault="007D06AA" w:rsidP="009A5158">
            <w:pPr>
              <w:rPr>
                <w:rFonts w:cstheme="minorHAnsi"/>
              </w:rPr>
            </w:pPr>
          </w:p>
        </w:tc>
      </w:tr>
      <w:tr w:rsidR="007D06AA" w:rsidRPr="00EC397E" w14:paraId="21FD4199" w14:textId="77777777" w:rsidTr="00980E2B">
        <w:tc>
          <w:tcPr>
            <w:tcW w:w="10348" w:type="dxa"/>
            <w:gridSpan w:val="3"/>
          </w:tcPr>
          <w:p w14:paraId="782441CD" w14:textId="7B1FC61E" w:rsidR="007D06AA" w:rsidRPr="00EC397E" w:rsidRDefault="0044288F" w:rsidP="0044288F">
            <w:pPr>
              <w:jc w:val="center"/>
              <w:rPr>
                <w:rFonts w:cstheme="minorHAnsi"/>
                <w:b/>
                <w:bCs/>
                <w:lang w:val="es-ES"/>
              </w:rPr>
            </w:pPr>
            <w:r w:rsidRPr="00EC397E">
              <w:rPr>
                <w:rFonts w:cstheme="minorHAnsi"/>
                <w:b/>
                <w:bCs/>
                <w:lang w:val="es-ES"/>
              </w:rPr>
              <w:lastRenderedPageBreak/>
              <w:t>Descripción del r</w:t>
            </w:r>
            <w:r w:rsidR="007D06AA" w:rsidRPr="00EC397E">
              <w:rPr>
                <w:rFonts w:cstheme="minorHAnsi"/>
                <w:b/>
                <w:bCs/>
                <w:lang w:val="es-ES"/>
              </w:rPr>
              <w:t>ecurso por utilizar</w:t>
            </w:r>
          </w:p>
        </w:tc>
      </w:tr>
      <w:tr w:rsidR="004F5BB3" w:rsidRPr="00EC397E" w14:paraId="77FBE488" w14:textId="77777777" w:rsidTr="00980E2B">
        <w:tc>
          <w:tcPr>
            <w:tcW w:w="10348" w:type="dxa"/>
            <w:gridSpan w:val="3"/>
          </w:tcPr>
          <w:p w14:paraId="5ADB52ED" w14:textId="62ADB6A7" w:rsidR="00B577F0" w:rsidRPr="009A00EF" w:rsidRDefault="00B577F0" w:rsidP="00F86432">
            <w:pPr>
              <w:spacing w:line="360" w:lineRule="auto"/>
              <w:ind w:left="360"/>
              <w:jc w:val="both"/>
              <w:rPr>
                <w:rFonts w:cstheme="minorHAnsi"/>
              </w:rPr>
            </w:pPr>
            <w:r w:rsidRPr="009A00EF">
              <w:rPr>
                <w:rFonts w:cstheme="minorHAnsi"/>
              </w:rPr>
              <w:t xml:space="preserve">El recurso constituye un entorno integrado de exploración digital e interpretación gráfica y corporal, diseñado para guiar a la persona estudiante en la comprensión de cómo la organización interna de los electrones en los átomos determina las propiedades macroscópicas y las aplicaciones tecnológicas de la materia avanzada. Su propósito fundamental es modelar la distribución electrónica utilizando el sistema cuántico </w:t>
            </w:r>
            <w:proofErr w:type="spellStart"/>
            <w:r w:rsidRPr="009A00EF">
              <w:rPr>
                <w:rFonts w:cstheme="minorHAnsi"/>
              </w:rPr>
              <w:t>nl</w:t>
            </w:r>
            <w:r w:rsidR="005D5D63">
              <w:rPr>
                <w:rFonts w:cstheme="minorHAnsi"/>
                <w:vertAlign w:val="superscript"/>
              </w:rPr>
              <w:t>x</w:t>
            </w:r>
            <w:proofErr w:type="spellEnd"/>
            <w:r w:rsidRPr="009A00EF">
              <w:rPr>
                <w:rFonts w:cstheme="minorHAnsi"/>
              </w:rPr>
              <w:t xml:space="preserve">, identificando anomalías y relacionando directamente los electrones de valencia con la reactividad química elemental. </w:t>
            </w:r>
          </w:p>
          <w:p w14:paraId="2B093307" w14:textId="77777777" w:rsidR="00B577F0" w:rsidRPr="00B577F0" w:rsidRDefault="00B577F0" w:rsidP="00F86432">
            <w:pPr>
              <w:pStyle w:val="Prrafodelista"/>
              <w:numPr>
                <w:ilvl w:val="0"/>
                <w:numId w:val="5"/>
              </w:numPr>
              <w:spacing w:line="360" w:lineRule="auto"/>
              <w:jc w:val="both"/>
              <w:rPr>
                <w:rFonts w:cstheme="minorHAnsi"/>
              </w:rPr>
            </w:pPr>
            <w:r w:rsidRPr="00B577F0">
              <w:rPr>
                <w:rFonts w:cstheme="minorHAnsi"/>
                <w:b/>
                <w:bCs/>
              </w:rPr>
              <w:t>Nombre del recurso:</w:t>
            </w:r>
            <w:r w:rsidRPr="00B577F0">
              <w:rPr>
                <w:rFonts w:cstheme="minorHAnsi"/>
              </w:rPr>
              <w:t xml:space="preserve"> Unidad de Simulación Cuántica "Configura-MEP" y el Kit de Modelado Estructural de Lewis. </w:t>
            </w:r>
          </w:p>
          <w:p w14:paraId="1AF760B9" w14:textId="77777777" w:rsidR="00B577F0" w:rsidRPr="00B577F0" w:rsidRDefault="00B577F0" w:rsidP="00F86432">
            <w:pPr>
              <w:pStyle w:val="Prrafodelista"/>
              <w:numPr>
                <w:ilvl w:val="0"/>
                <w:numId w:val="5"/>
              </w:numPr>
              <w:spacing w:line="360" w:lineRule="auto"/>
              <w:jc w:val="both"/>
              <w:rPr>
                <w:rFonts w:cstheme="minorHAnsi"/>
              </w:rPr>
            </w:pPr>
            <w:r w:rsidRPr="00B577F0">
              <w:rPr>
                <w:rFonts w:cstheme="minorHAnsi"/>
                <w:b/>
                <w:bCs/>
              </w:rPr>
              <w:t>¿Dónde se ubica y cómo funciona?:</w:t>
            </w:r>
          </w:p>
          <w:p w14:paraId="1F465022" w14:textId="77777777" w:rsidR="00B577F0" w:rsidRPr="00B577F0" w:rsidRDefault="00B577F0" w:rsidP="00F86432">
            <w:pPr>
              <w:pStyle w:val="Prrafodelista"/>
              <w:numPr>
                <w:ilvl w:val="1"/>
                <w:numId w:val="5"/>
              </w:numPr>
              <w:spacing w:line="360" w:lineRule="auto"/>
              <w:jc w:val="both"/>
              <w:rPr>
                <w:rFonts w:cstheme="minorHAnsi"/>
              </w:rPr>
            </w:pPr>
            <w:r w:rsidRPr="00B577F0">
              <w:rPr>
                <w:rFonts w:cstheme="minorHAnsi"/>
                <w:b/>
                <w:bCs/>
              </w:rPr>
              <w:t>Ubicación física:</w:t>
            </w:r>
            <w:r w:rsidRPr="00B577F0">
              <w:rPr>
                <w:rFonts w:cstheme="minorHAnsi"/>
              </w:rPr>
              <w:t xml:space="preserve"> Se ejecuta directamente en el aula o laboratorio de ciencias, utilizando guías de trabajo impresas, materiales cotidianos para la representación de puntos de Lewis y el espacio físico del aula para el desarrollo de las dinámicas de expresión artística. </w:t>
            </w:r>
          </w:p>
          <w:p w14:paraId="7EA9DF08" w14:textId="77777777" w:rsidR="004E586C" w:rsidRPr="004E586C" w:rsidRDefault="00B577F0" w:rsidP="004E586C">
            <w:pPr>
              <w:pStyle w:val="Prrafodelista"/>
              <w:numPr>
                <w:ilvl w:val="1"/>
                <w:numId w:val="5"/>
              </w:numPr>
              <w:spacing w:line="360" w:lineRule="auto"/>
              <w:jc w:val="both"/>
              <w:rPr>
                <w:rFonts w:cstheme="minorHAnsi"/>
                <w:b/>
                <w:bCs/>
              </w:rPr>
            </w:pPr>
            <w:r w:rsidRPr="00B577F0">
              <w:rPr>
                <w:rFonts w:cstheme="minorHAnsi"/>
                <w:b/>
                <w:bCs/>
              </w:rPr>
              <w:lastRenderedPageBreak/>
              <w:t>Ubicación digital:</w:t>
            </w:r>
            <w:r w:rsidRPr="00B577F0">
              <w:rPr>
                <w:rFonts w:cstheme="minorHAnsi"/>
              </w:rPr>
              <w:t xml:space="preserve"> El recurso principal interactivo se aloja de forma oficial en los entornos multimedia del Ministerio de Educación Pública (MEP), bajo el nombre de </w:t>
            </w:r>
            <w:r w:rsidRPr="00B577F0">
              <w:rPr>
                <w:rFonts w:cstheme="minorHAnsi"/>
                <w:i/>
                <w:iCs/>
              </w:rPr>
              <w:t>Tabla Periódica y Configuraciones Electrónicas</w:t>
            </w:r>
            <w:r w:rsidR="006E554D">
              <w:rPr>
                <w:rFonts w:cstheme="minorHAnsi"/>
                <w:i/>
                <w:iCs/>
              </w:rPr>
              <w:t xml:space="preserve">: </w:t>
            </w:r>
            <w:hyperlink r:id="rId9" w:history="1">
              <w:r w:rsidR="006E554D" w:rsidRPr="006E554D">
                <w:rPr>
                  <w:rStyle w:val="Hipervnculo"/>
                  <w:rFonts w:cstheme="minorHAnsi"/>
                  <w:i/>
                  <w:iCs/>
                </w:rPr>
                <w:t>Tabla periódica: configuraciones electrónicas | Ministerio de Educación Pública</w:t>
              </w:r>
            </w:hyperlink>
            <w:r w:rsidRPr="00B577F0">
              <w:rPr>
                <w:rFonts w:cstheme="minorHAnsi"/>
              </w:rPr>
              <w:t>.</w:t>
            </w:r>
          </w:p>
          <w:p w14:paraId="3CDBFC3F" w14:textId="023321F1" w:rsidR="00B577F0" w:rsidRPr="004E586C" w:rsidRDefault="00F14E0C" w:rsidP="004E586C">
            <w:pPr>
              <w:spacing w:line="360" w:lineRule="auto"/>
              <w:ind w:left="1080"/>
              <w:jc w:val="both"/>
              <w:rPr>
                <w:rFonts w:cstheme="minorHAnsi"/>
                <w:b/>
                <w:bCs/>
              </w:rPr>
            </w:pPr>
            <w:r w:rsidRPr="004E586C">
              <w:rPr>
                <w:rFonts w:cstheme="minorHAnsi"/>
                <w:b/>
                <w:bCs/>
              </w:rPr>
              <w:t>¿</w:t>
            </w:r>
            <w:r w:rsidR="00B577F0" w:rsidRPr="004E586C">
              <w:rPr>
                <w:rFonts w:cstheme="minorHAnsi"/>
                <w:b/>
                <w:bCs/>
              </w:rPr>
              <w:t>En qué contexto educativo</w:t>
            </w:r>
            <w:r w:rsidRPr="004E586C">
              <w:rPr>
                <w:rFonts w:cstheme="minorHAnsi"/>
                <w:b/>
                <w:bCs/>
              </w:rPr>
              <w:t>?</w:t>
            </w:r>
          </w:p>
          <w:p w14:paraId="5E68DC58" w14:textId="77777777" w:rsidR="00B577F0" w:rsidRPr="004E586C" w:rsidRDefault="00B577F0" w:rsidP="004E586C">
            <w:pPr>
              <w:spacing w:line="360" w:lineRule="auto"/>
              <w:ind w:left="708"/>
              <w:jc w:val="both"/>
              <w:rPr>
                <w:rFonts w:cstheme="minorHAnsi"/>
              </w:rPr>
            </w:pPr>
            <w:r w:rsidRPr="004E586C">
              <w:rPr>
                <w:rFonts w:cstheme="minorHAnsi"/>
              </w:rPr>
              <w:t>Para asegurar el cumplimiento de los objetivos pedagógicos en diversos entornos institucionales, las actividades de mediación se desglosan según la disponibilidad de recursos tecnológicos:</w:t>
            </w:r>
          </w:p>
          <w:p w14:paraId="77DA058A" w14:textId="77777777" w:rsidR="00B577F0" w:rsidRPr="00B577F0" w:rsidRDefault="00B577F0" w:rsidP="00F86432">
            <w:pPr>
              <w:pStyle w:val="Prrafodelista"/>
              <w:spacing w:line="360" w:lineRule="auto"/>
              <w:ind w:left="1440"/>
              <w:jc w:val="both"/>
              <w:rPr>
                <w:rFonts w:cstheme="minorHAnsi"/>
                <w:b/>
                <w:bCs/>
              </w:rPr>
            </w:pPr>
            <w:r w:rsidRPr="00B577F0">
              <w:rPr>
                <w:rFonts w:cstheme="minorHAnsi"/>
                <w:b/>
                <w:bCs/>
              </w:rPr>
              <w:t>1. Fase de Focalización</w:t>
            </w:r>
          </w:p>
          <w:p w14:paraId="02137CB7" w14:textId="77777777" w:rsidR="00B577F0" w:rsidRPr="00B577F0" w:rsidRDefault="00B577F0" w:rsidP="00F86432">
            <w:pPr>
              <w:pStyle w:val="Prrafodelista"/>
              <w:numPr>
                <w:ilvl w:val="0"/>
                <w:numId w:val="6"/>
              </w:numPr>
              <w:spacing w:line="360" w:lineRule="auto"/>
              <w:jc w:val="both"/>
              <w:rPr>
                <w:rFonts w:cstheme="minorHAnsi"/>
              </w:rPr>
            </w:pPr>
            <w:r w:rsidRPr="00B577F0">
              <w:rPr>
                <w:rFonts w:cstheme="minorHAnsi"/>
                <w:b/>
                <w:bCs/>
              </w:rPr>
              <w:t>Actividad sin apoyo de la tecnología:</w:t>
            </w:r>
            <w:r w:rsidRPr="00B577F0">
              <w:rPr>
                <w:rFonts w:cstheme="minorHAnsi"/>
              </w:rPr>
              <w:t xml:space="preserve"> La persona docente presenta al grupo imágenes impresas a gran escala y de alta resolución que ilustran un panel solar sofisticado y un cable conductor superconductor de alta fidelidad. A partir de estas representaciones físicas, se abren las interrogantes generadoras sobre el comportamiento de los semiconductores y la organización espacial externa de los electrones, anotando las ideas iniciales en la pizarra. </w:t>
            </w:r>
          </w:p>
          <w:p w14:paraId="40A43C71" w14:textId="77777777" w:rsidR="00B577F0" w:rsidRPr="00B577F0" w:rsidRDefault="00B577F0" w:rsidP="00F86432">
            <w:pPr>
              <w:pStyle w:val="Prrafodelista"/>
              <w:numPr>
                <w:ilvl w:val="0"/>
                <w:numId w:val="6"/>
              </w:numPr>
              <w:spacing w:line="360" w:lineRule="auto"/>
              <w:jc w:val="both"/>
              <w:rPr>
                <w:rFonts w:cstheme="minorHAnsi"/>
              </w:rPr>
            </w:pPr>
            <w:r w:rsidRPr="00B577F0">
              <w:rPr>
                <w:rFonts w:cstheme="minorHAnsi"/>
                <w:b/>
                <w:bCs/>
              </w:rPr>
              <w:t>Actividad con apoyo de la tecnología:</w:t>
            </w:r>
            <w:r w:rsidRPr="00B577F0">
              <w:rPr>
                <w:rFonts w:cstheme="minorHAnsi"/>
              </w:rPr>
              <w:t xml:space="preserve"> Se proyecta una presentación interactiva o un modelado tridimensional animado en la pantalla del aula que muestra el flujo de datos dentro de un microchip. Las personas estudiantes acceden a través de sus dispositivos a un mural digital (como una pizarra en Microsoft </w:t>
            </w:r>
            <w:proofErr w:type="spellStart"/>
            <w:r w:rsidRPr="00B577F0">
              <w:rPr>
                <w:rFonts w:cstheme="minorHAnsi"/>
              </w:rPr>
              <w:t>Teams</w:t>
            </w:r>
            <w:proofErr w:type="spellEnd"/>
            <w:r w:rsidRPr="00B577F0">
              <w:rPr>
                <w:rFonts w:cstheme="minorHAnsi"/>
              </w:rPr>
              <w:t xml:space="preserve">) donde registran sus hipótesis en torno a cómo se organizan espacialmente las capas electrónicas externas de estos materiales tecnológicos. </w:t>
            </w:r>
          </w:p>
          <w:p w14:paraId="77AF8B39" w14:textId="77777777" w:rsidR="00B577F0" w:rsidRPr="00B577F0" w:rsidRDefault="00B577F0" w:rsidP="00F86432">
            <w:pPr>
              <w:pStyle w:val="Prrafodelista"/>
              <w:spacing w:line="360" w:lineRule="auto"/>
              <w:ind w:left="1440"/>
              <w:jc w:val="both"/>
              <w:rPr>
                <w:rFonts w:cstheme="minorHAnsi"/>
                <w:b/>
                <w:bCs/>
              </w:rPr>
            </w:pPr>
            <w:r w:rsidRPr="00B577F0">
              <w:rPr>
                <w:rFonts w:cstheme="minorHAnsi"/>
                <w:b/>
                <w:bCs/>
              </w:rPr>
              <w:t>2. Fase de Exploración</w:t>
            </w:r>
          </w:p>
          <w:p w14:paraId="247D0830" w14:textId="77777777" w:rsidR="00B577F0" w:rsidRPr="00B577F0" w:rsidRDefault="00B577F0" w:rsidP="00F86432">
            <w:pPr>
              <w:pStyle w:val="Prrafodelista"/>
              <w:numPr>
                <w:ilvl w:val="0"/>
                <w:numId w:val="7"/>
              </w:numPr>
              <w:spacing w:line="360" w:lineRule="auto"/>
              <w:jc w:val="both"/>
              <w:rPr>
                <w:rFonts w:cstheme="minorHAnsi"/>
              </w:rPr>
            </w:pPr>
            <w:r w:rsidRPr="00B577F0">
              <w:rPr>
                <w:rFonts w:cstheme="minorHAnsi"/>
                <w:b/>
                <w:bCs/>
              </w:rPr>
              <w:t>Actividad sin apoyo de la tecnología:</w:t>
            </w:r>
            <w:r w:rsidRPr="00B577F0">
              <w:rPr>
                <w:rFonts w:cstheme="minorHAnsi"/>
              </w:rPr>
              <w:t xml:space="preserve"> Organizados en subgrupos con roles definidos, los estudiantes analizan diagramas analógicos impresos del diagrama de Aufbau (regla de las diagonales). En sus bitácoras de trabajo, resuelven la ruta de distribución gráfica de electrones aplicando manualmente los principios de exclusión de Pauli y la regla de Hund para identificar el electrón diferenciante, denotando de forma manuscrita las anomalías en los metales de transición de uso industrial. </w:t>
            </w:r>
          </w:p>
          <w:p w14:paraId="6BAFE44A" w14:textId="66DFB3F0" w:rsidR="00B577F0" w:rsidRPr="00B577F0" w:rsidRDefault="00B577F0" w:rsidP="00F86432">
            <w:pPr>
              <w:pStyle w:val="Prrafodelista"/>
              <w:numPr>
                <w:ilvl w:val="0"/>
                <w:numId w:val="7"/>
              </w:numPr>
              <w:spacing w:line="360" w:lineRule="auto"/>
              <w:jc w:val="both"/>
              <w:rPr>
                <w:rFonts w:cstheme="minorHAnsi"/>
              </w:rPr>
            </w:pPr>
            <w:r w:rsidRPr="00B577F0">
              <w:rPr>
                <w:rFonts w:cstheme="minorHAnsi"/>
                <w:b/>
                <w:bCs/>
              </w:rPr>
              <w:t>Actividad con apoyo de la tecnología:</w:t>
            </w:r>
            <w:r w:rsidRPr="00B577F0">
              <w:rPr>
                <w:rFonts w:cstheme="minorHAnsi"/>
              </w:rPr>
              <w:t xml:space="preserve"> Los subgrupos interactúan de forma directa con el recurso multimedia oficial del MEP </w:t>
            </w:r>
            <w:r w:rsidRPr="00B577F0">
              <w:rPr>
                <w:rFonts w:cstheme="minorHAnsi"/>
                <w:i/>
                <w:iCs/>
              </w:rPr>
              <w:t>Tabla Periódica y Configuraciones Electrónicas</w:t>
            </w:r>
            <w:r w:rsidR="004E586C">
              <w:rPr>
                <w:rFonts w:cstheme="minorHAnsi"/>
                <w:i/>
                <w:iCs/>
              </w:rPr>
              <w:t xml:space="preserve">: </w:t>
            </w:r>
            <w:hyperlink r:id="rId10" w:history="1">
              <w:r w:rsidR="004E586C" w:rsidRPr="004E586C">
                <w:rPr>
                  <w:rStyle w:val="Hipervnculo"/>
                  <w:rFonts w:cstheme="minorHAnsi"/>
                  <w:i/>
                  <w:iCs/>
                </w:rPr>
                <w:t>Tabla periódica: configuraciones electrónicas | Ministerio de Educación Pública</w:t>
              </w:r>
            </w:hyperlink>
            <w:r w:rsidRPr="00B577F0">
              <w:rPr>
                <w:rFonts w:cstheme="minorHAnsi"/>
              </w:rPr>
              <w:t xml:space="preserve"> en las computadoras o tabletas del centro educativo. </w:t>
            </w:r>
            <w:r w:rsidR="004E586C">
              <w:rPr>
                <w:rFonts w:cstheme="minorHAnsi"/>
              </w:rPr>
              <w:t xml:space="preserve">Observan el video </w:t>
            </w:r>
            <w:r w:rsidR="00FC0124">
              <w:rPr>
                <w:rFonts w:cstheme="minorHAnsi"/>
              </w:rPr>
              <w:t xml:space="preserve">para </w:t>
            </w:r>
            <w:r w:rsidRPr="00B577F0">
              <w:rPr>
                <w:rFonts w:cstheme="minorHAnsi"/>
              </w:rPr>
              <w:t xml:space="preserve">comprobar los principios cuánticos, resolver de forma interactiva la distribución electrónica en el sistema </w:t>
            </w:r>
            <w:proofErr w:type="spellStart"/>
            <w:r w:rsidRPr="00B577F0">
              <w:rPr>
                <w:rFonts w:cstheme="minorHAnsi"/>
              </w:rPr>
              <w:t>nl</w:t>
            </w:r>
            <w:r w:rsidR="009A6391">
              <w:rPr>
                <w:rFonts w:cstheme="minorHAnsi"/>
                <w:vertAlign w:val="superscript"/>
              </w:rPr>
              <w:t>x</w:t>
            </w:r>
            <w:proofErr w:type="spellEnd"/>
            <w:r w:rsidRPr="00B577F0">
              <w:rPr>
                <w:rFonts w:cstheme="minorHAnsi"/>
              </w:rPr>
              <w:t xml:space="preserve">. </w:t>
            </w:r>
          </w:p>
          <w:p w14:paraId="55D5D654" w14:textId="77777777" w:rsidR="00B577F0" w:rsidRPr="00B577F0" w:rsidRDefault="00B577F0" w:rsidP="00F86432">
            <w:pPr>
              <w:pStyle w:val="Prrafodelista"/>
              <w:spacing w:line="360" w:lineRule="auto"/>
              <w:ind w:left="1440"/>
              <w:jc w:val="both"/>
              <w:rPr>
                <w:rFonts w:cstheme="minorHAnsi"/>
                <w:b/>
                <w:bCs/>
              </w:rPr>
            </w:pPr>
            <w:r w:rsidRPr="00B577F0">
              <w:rPr>
                <w:rFonts w:cstheme="minorHAnsi"/>
                <w:b/>
                <w:bCs/>
              </w:rPr>
              <w:lastRenderedPageBreak/>
              <w:t>3. Fase de Reflexión y Contrastación</w:t>
            </w:r>
          </w:p>
          <w:p w14:paraId="4351938B" w14:textId="237EA776" w:rsidR="007B669F" w:rsidRPr="007B669F" w:rsidRDefault="007B669F" w:rsidP="00F86432">
            <w:pPr>
              <w:pStyle w:val="Prrafodelista"/>
              <w:numPr>
                <w:ilvl w:val="0"/>
                <w:numId w:val="8"/>
              </w:numPr>
              <w:spacing w:line="360" w:lineRule="auto"/>
              <w:jc w:val="both"/>
              <w:rPr>
                <w:rFonts w:cstheme="minorHAnsi"/>
                <w:lang w:val="es-ES"/>
              </w:rPr>
            </w:pPr>
            <w:r w:rsidRPr="007B669F">
              <w:rPr>
                <w:rFonts w:cstheme="minorHAnsi"/>
                <w:b/>
                <w:bCs/>
                <w:lang w:val="es-ES"/>
              </w:rPr>
              <w:t>Actividad sin apoyo de la tecnología:</w:t>
            </w:r>
            <w:r w:rsidRPr="007B669F">
              <w:rPr>
                <w:rFonts w:cstheme="minorHAnsi"/>
                <w:lang w:val="es-ES"/>
              </w:rPr>
              <w:t xml:space="preserve"> En subgrupos, las personas estudiantes resuelven la distribución gráfica de espines en diagramas analógicos impresos en papel. Utilizando lápices de colores, identifican manualmente el electrón diferenciante y los electrones de valencia según las reglas de Hund, Pauli y Aufbau.</w:t>
            </w:r>
          </w:p>
          <w:p w14:paraId="39200EA5" w14:textId="77777777" w:rsidR="00B577F0" w:rsidRPr="00B577F0" w:rsidRDefault="00B577F0" w:rsidP="00F86432">
            <w:pPr>
              <w:pStyle w:val="Prrafodelista"/>
              <w:spacing w:line="360" w:lineRule="auto"/>
              <w:ind w:left="1440"/>
              <w:jc w:val="both"/>
              <w:rPr>
                <w:rFonts w:cstheme="minorHAnsi"/>
                <w:b/>
                <w:bCs/>
              </w:rPr>
            </w:pPr>
            <w:r w:rsidRPr="00B577F0">
              <w:rPr>
                <w:rFonts w:cstheme="minorHAnsi"/>
                <w:b/>
                <w:bCs/>
              </w:rPr>
              <w:t>4. Fase de Aplicación</w:t>
            </w:r>
          </w:p>
          <w:p w14:paraId="6FDC14B3" w14:textId="71C433AB" w:rsidR="00C334A6" w:rsidRPr="00C334A6" w:rsidRDefault="00C334A6" w:rsidP="00F86432">
            <w:pPr>
              <w:pStyle w:val="Prrafodelista"/>
              <w:numPr>
                <w:ilvl w:val="0"/>
                <w:numId w:val="9"/>
              </w:numPr>
              <w:spacing w:line="360" w:lineRule="auto"/>
              <w:jc w:val="both"/>
              <w:rPr>
                <w:rFonts w:cstheme="minorHAnsi"/>
              </w:rPr>
            </w:pPr>
            <w:r w:rsidRPr="00C334A6">
              <w:rPr>
                <w:rFonts w:cstheme="minorHAnsi"/>
                <w:b/>
                <w:bCs/>
              </w:rPr>
              <w:t>Actividad sin apoyo de la tecnología:</w:t>
            </w:r>
            <w:r w:rsidRPr="00C334A6">
              <w:rPr>
                <w:rFonts w:cstheme="minorHAnsi"/>
              </w:rPr>
              <w:t xml:space="preserve"> Cada estudiante analiza de forma individual una ficha impresa con las gráficas de líneas y barras de datos numéricos reales de radio atómico y electronegatividad. Resuelven a mano en sus cuadernos las estructuras de puntos de Lewis para los elementos representativos del entorno y redactan el dictamen de consultoría técnica de energías limpias.</w:t>
            </w:r>
          </w:p>
          <w:p w14:paraId="69130180" w14:textId="5727A391" w:rsidR="00C334A6" w:rsidRPr="00C334A6" w:rsidRDefault="00C334A6" w:rsidP="00F86432">
            <w:pPr>
              <w:pStyle w:val="Prrafodelista"/>
              <w:numPr>
                <w:ilvl w:val="0"/>
                <w:numId w:val="9"/>
              </w:numPr>
              <w:spacing w:line="360" w:lineRule="auto"/>
              <w:jc w:val="both"/>
              <w:rPr>
                <w:rFonts w:cstheme="minorHAnsi"/>
              </w:rPr>
            </w:pPr>
            <w:r w:rsidRPr="00C334A6">
              <w:rPr>
                <w:rFonts w:cstheme="minorHAnsi"/>
                <w:b/>
                <w:bCs/>
              </w:rPr>
              <w:t>Actividad con apoyo de la tecnología:</w:t>
            </w:r>
            <w:r w:rsidRPr="00C334A6">
              <w:rPr>
                <w:rFonts w:cstheme="minorHAnsi"/>
              </w:rPr>
              <w:t xml:space="preserve"> Los estudiantes acceden a las gráficas tridimensionales de propiedades periódicas en la plataforma digital y estructuran su dictamen técnico final empleando un procesador de texto digital o mediante un formulario parametrizado en Microsoft </w:t>
            </w:r>
            <w:proofErr w:type="spellStart"/>
            <w:r w:rsidRPr="00C334A6">
              <w:rPr>
                <w:rFonts w:cstheme="minorHAnsi"/>
              </w:rPr>
              <w:t>Forms</w:t>
            </w:r>
            <w:proofErr w:type="spellEnd"/>
            <w:r w:rsidRPr="00C334A6">
              <w:rPr>
                <w:rFonts w:cstheme="minorHAnsi"/>
              </w:rPr>
              <w:t xml:space="preserve"> configurado por el docente, el cual valida en tiempo real la correspondencia entre los electrones de valencia y la reactividad potencial del elemento candidato.</w:t>
            </w:r>
          </w:p>
          <w:p w14:paraId="0293B7B9" w14:textId="77777777" w:rsidR="004F5BB3" w:rsidRPr="00B577F0" w:rsidRDefault="004F5BB3" w:rsidP="00F86432">
            <w:pPr>
              <w:pStyle w:val="Prrafodelista"/>
              <w:spacing w:line="360" w:lineRule="auto"/>
              <w:jc w:val="both"/>
              <w:rPr>
                <w:rFonts w:cstheme="minorHAnsi"/>
              </w:rPr>
            </w:pPr>
          </w:p>
        </w:tc>
      </w:tr>
      <w:tr w:rsidR="007D06AA" w:rsidRPr="00EC397E" w14:paraId="6097C334" w14:textId="77777777" w:rsidTr="00980E2B">
        <w:tc>
          <w:tcPr>
            <w:tcW w:w="10348" w:type="dxa"/>
            <w:gridSpan w:val="3"/>
          </w:tcPr>
          <w:p w14:paraId="45FB9BE0" w14:textId="2FD6EC70" w:rsidR="007D06AA" w:rsidRPr="00EC397E" w:rsidRDefault="007D06AA" w:rsidP="00410C4D">
            <w:pPr>
              <w:jc w:val="center"/>
              <w:rPr>
                <w:rFonts w:cstheme="minorHAnsi"/>
                <w:b/>
                <w:bCs/>
                <w:lang w:val="es-ES"/>
              </w:rPr>
            </w:pPr>
            <w:r w:rsidRPr="00EC397E">
              <w:rPr>
                <w:rFonts w:cstheme="minorHAnsi"/>
                <w:b/>
                <w:bCs/>
                <w:lang w:val="es-ES"/>
              </w:rPr>
              <w:lastRenderedPageBreak/>
              <w:t>Recursos</w:t>
            </w:r>
            <w:r w:rsidR="009A5158" w:rsidRPr="00EC397E">
              <w:rPr>
                <w:rFonts w:cstheme="minorHAnsi"/>
                <w:b/>
                <w:bCs/>
                <w:lang w:val="es-ES"/>
              </w:rPr>
              <w:t xml:space="preserve"> complementarios</w:t>
            </w:r>
          </w:p>
        </w:tc>
      </w:tr>
      <w:tr w:rsidR="007D06AA" w:rsidRPr="00EC397E" w14:paraId="5CEE6871" w14:textId="77777777" w:rsidTr="00980E2B">
        <w:tc>
          <w:tcPr>
            <w:tcW w:w="10348" w:type="dxa"/>
            <w:gridSpan w:val="3"/>
          </w:tcPr>
          <w:p w14:paraId="496C9154" w14:textId="77777777" w:rsidR="007C7970" w:rsidRPr="007C7970" w:rsidRDefault="007C7970" w:rsidP="00F86432">
            <w:pPr>
              <w:spacing w:line="360" w:lineRule="auto"/>
              <w:jc w:val="both"/>
              <w:rPr>
                <w:rFonts w:cstheme="minorHAnsi"/>
                <w:b/>
                <w:bCs/>
              </w:rPr>
            </w:pPr>
            <w:r w:rsidRPr="007C7970">
              <w:rPr>
                <w:rFonts w:cstheme="minorHAnsi"/>
                <w:b/>
                <w:bCs/>
              </w:rPr>
              <w:t>Material complementario</w:t>
            </w:r>
          </w:p>
          <w:p w14:paraId="65102093" w14:textId="77777777" w:rsidR="007C7970" w:rsidRPr="007C7970" w:rsidRDefault="007C7970" w:rsidP="00F86432">
            <w:pPr>
              <w:numPr>
                <w:ilvl w:val="0"/>
                <w:numId w:val="10"/>
              </w:numPr>
              <w:spacing w:line="360" w:lineRule="auto"/>
              <w:jc w:val="both"/>
              <w:rPr>
                <w:rFonts w:cstheme="minorHAnsi"/>
              </w:rPr>
            </w:pPr>
            <w:r w:rsidRPr="007C7970">
              <w:rPr>
                <w:rFonts w:cstheme="minorHAnsi"/>
                <w:b/>
                <w:bCs/>
              </w:rPr>
              <w:t>Enlaces web y plataformas multimedia:</w:t>
            </w:r>
            <w:r w:rsidRPr="007C7970">
              <w:rPr>
                <w:rFonts w:cstheme="minorHAnsi"/>
              </w:rPr>
              <w:t xml:space="preserve"> * </w:t>
            </w:r>
            <w:r w:rsidRPr="007C7970">
              <w:rPr>
                <w:rFonts w:cstheme="minorHAnsi"/>
                <w:i/>
                <w:iCs/>
              </w:rPr>
              <w:t>Recurso Multimedia del MEP:</w:t>
            </w:r>
            <w:r w:rsidRPr="007C7970">
              <w:rPr>
                <w:rFonts w:cstheme="minorHAnsi"/>
              </w:rPr>
              <w:t xml:space="preserve"> Enlace de acceso al interactivo institucional de apoyo al aula titulado </w:t>
            </w:r>
            <w:r w:rsidRPr="007C7970">
              <w:rPr>
                <w:rFonts w:cstheme="minorHAnsi"/>
                <w:i/>
                <w:iCs/>
              </w:rPr>
              <w:t>"Tabla Periódica y Configuraciones Electrónicas"</w:t>
            </w:r>
            <w:r w:rsidRPr="007C7970">
              <w:rPr>
                <w:rFonts w:cstheme="minorHAnsi"/>
              </w:rPr>
              <w:t xml:space="preserve">, disponible para la mediación de los principios de Aufbau, Pauli y Hund. </w:t>
            </w:r>
          </w:p>
          <w:p w14:paraId="36BE982C" w14:textId="77777777" w:rsidR="007C7970" w:rsidRPr="007C7970" w:rsidRDefault="007C7970" w:rsidP="00F86432">
            <w:pPr>
              <w:spacing w:line="360" w:lineRule="auto"/>
              <w:jc w:val="both"/>
              <w:rPr>
                <w:rFonts w:cstheme="minorHAnsi"/>
                <w:b/>
                <w:bCs/>
              </w:rPr>
            </w:pPr>
            <w:r w:rsidRPr="007C7970">
              <w:rPr>
                <w:rFonts w:cstheme="minorHAnsi"/>
                <w:b/>
                <w:bCs/>
              </w:rPr>
              <w:t>Material de refuerzo para la casa</w:t>
            </w:r>
          </w:p>
          <w:p w14:paraId="48E0919F" w14:textId="070E93CA" w:rsidR="007C7970" w:rsidRPr="007C7970" w:rsidRDefault="007C7970" w:rsidP="00F86432">
            <w:pPr>
              <w:numPr>
                <w:ilvl w:val="0"/>
                <w:numId w:val="11"/>
              </w:numPr>
              <w:spacing w:line="360" w:lineRule="auto"/>
              <w:jc w:val="both"/>
              <w:rPr>
                <w:rFonts w:cstheme="minorHAnsi"/>
              </w:rPr>
            </w:pPr>
            <w:r w:rsidRPr="007C7970">
              <w:rPr>
                <w:rFonts w:cstheme="minorHAnsi"/>
                <w:b/>
                <w:bCs/>
              </w:rPr>
              <w:t>El Mapa Electrónico del Hogar:</w:t>
            </w:r>
            <w:r w:rsidRPr="007C7970">
              <w:rPr>
                <w:rFonts w:cstheme="minorHAnsi"/>
              </w:rPr>
              <w:t xml:space="preserve"> Ficha de trabajo autónomo diseñada para que el estudiante seleccione dos elementos químicos representativos presentes en utensilios o dispositivos de su hogar (por ejemplo, el Silicio en componentes electrónicos o el Aluminio en la cocina). En el hogar, deberá estructurar individualmente la configuración electrónica en formato </w:t>
            </w:r>
            <w:proofErr w:type="spellStart"/>
            <w:r w:rsidRPr="007C7970">
              <w:rPr>
                <w:rFonts w:cstheme="minorHAnsi"/>
              </w:rPr>
              <w:t>nl</w:t>
            </w:r>
            <w:r w:rsidR="00BB7238">
              <w:rPr>
                <w:rFonts w:cstheme="minorHAnsi"/>
                <w:vertAlign w:val="superscript"/>
              </w:rPr>
              <w:t>x</w:t>
            </w:r>
            <w:proofErr w:type="spellEnd"/>
            <w:r w:rsidR="00BB7238">
              <w:rPr>
                <w:rFonts w:cstheme="minorHAnsi"/>
              </w:rPr>
              <w:t xml:space="preserve"> </w:t>
            </w:r>
            <w:r w:rsidRPr="007C7970">
              <w:rPr>
                <w:rFonts w:cstheme="minorHAnsi"/>
              </w:rPr>
              <w:t xml:space="preserve">y dibujar la estructura de puntos de Lewis respectiva, detallando una breve explicación manuscrita de cómo sus electrones de valencia determinan su estabilidad o reactividad diaria. </w:t>
            </w:r>
          </w:p>
          <w:p w14:paraId="6A3F5F18" w14:textId="77777777" w:rsidR="007C7970" w:rsidRPr="007C7970" w:rsidRDefault="007C7970" w:rsidP="00F86432">
            <w:pPr>
              <w:spacing w:line="360" w:lineRule="auto"/>
              <w:jc w:val="both"/>
              <w:rPr>
                <w:rFonts w:cstheme="minorHAnsi"/>
                <w:b/>
                <w:bCs/>
              </w:rPr>
            </w:pPr>
            <w:r w:rsidRPr="007C7970">
              <w:rPr>
                <w:rFonts w:cstheme="minorHAnsi"/>
                <w:b/>
                <w:bCs/>
              </w:rPr>
              <w:t>Bancos de ítems complementarios</w:t>
            </w:r>
          </w:p>
          <w:p w14:paraId="1C300FDC" w14:textId="77777777" w:rsidR="007C7970" w:rsidRPr="007C7970" w:rsidRDefault="007C7970" w:rsidP="00F86432">
            <w:pPr>
              <w:spacing w:line="360" w:lineRule="auto"/>
              <w:jc w:val="both"/>
              <w:rPr>
                <w:rFonts w:cstheme="minorHAnsi"/>
              </w:rPr>
            </w:pPr>
            <w:r w:rsidRPr="007C7970">
              <w:rPr>
                <w:rFonts w:cstheme="minorHAnsi"/>
              </w:rPr>
              <w:lastRenderedPageBreak/>
              <w:t>Reactivo formulado bajo los lineamientos técnicos de la Dirección de Gestión y Evaluación de la Calidad (DGEC) para la comprobación formativa del aprendizaje:</w:t>
            </w:r>
          </w:p>
          <w:p w14:paraId="47EF0105" w14:textId="77777777" w:rsidR="00AA4842" w:rsidRPr="002F41CA" w:rsidRDefault="00AA4842" w:rsidP="00F86432">
            <w:pPr>
              <w:widowControl w:val="0"/>
              <w:spacing w:line="360" w:lineRule="auto"/>
            </w:pPr>
            <w:r w:rsidRPr="002F41CA">
              <w:t>Considere la siguiente situación en un laboratorio de análisis de materiales:</w:t>
            </w:r>
          </w:p>
          <w:p w14:paraId="370708F0" w14:textId="77777777" w:rsidR="00AA4842" w:rsidRPr="00136F32" w:rsidRDefault="00AA4842" w:rsidP="00F86432">
            <w:pPr>
              <w:widowControl w:val="0"/>
              <w:spacing w:line="360" w:lineRule="auto"/>
              <w:rPr>
                <w:vertAlign w:val="superscript"/>
              </w:rPr>
            </w:pPr>
            <w:r w:rsidRPr="002F41CA">
              <w:t>Durante el estudio de un material semiconductor utilizado en la manufactura de celdas fotovoltaicas, un laboratorista determina que los átomos neutros del elemento central del compuesto poseen la siguiente configuración electrónica abreviada:</w:t>
            </w:r>
            <w:r>
              <w:t xml:space="preserve"> </w:t>
            </w:r>
            <w:r w:rsidRPr="002F41CA">
              <w:t>[Ne] 3s</w:t>
            </w:r>
            <w:r>
              <w:rPr>
                <w:vertAlign w:val="superscript"/>
              </w:rPr>
              <w:t>2</w:t>
            </w:r>
            <w:r w:rsidRPr="002F41CA">
              <w:t xml:space="preserve"> 3p</w:t>
            </w:r>
            <w:r>
              <w:rPr>
                <w:vertAlign w:val="superscript"/>
              </w:rPr>
              <w:t>2</w:t>
            </w:r>
          </w:p>
          <w:p w14:paraId="23EEBD26" w14:textId="77777777" w:rsidR="00AA4842" w:rsidRPr="002F41CA" w:rsidRDefault="00AA4842" w:rsidP="00F86432">
            <w:pPr>
              <w:widowControl w:val="0"/>
              <w:spacing w:line="360" w:lineRule="auto"/>
            </w:pPr>
            <w:r w:rsidRPr="002F41CA">
              <w:t>El equipo técnico debe registrar en el informe institucional tanto la representación de puntos de Lewis de este elemento representativo como el período exacto de la Tabla Periódica internacional donde se ubica para predecir su reactividad.</w:t>
            </w:r>
          </w:p>
          <w:p w14:paraId="18DB2C1B" w14:textId="77777777" w:rsidR="00AA4842" w:rsidRPr="002F41CA" w:rsidRDefault="00AA4842" w:rsidP="00F86432">
            <w:pPr>
              <w:widowControl w:val="0"/>
              <w:spacing w:line="360" w:lineRule="auto"/>
            </w:pPr>
            <w:r w:rsidRPr="002F41CA">
              <w:t>De acuerdo con la organización electrónica del elemento descrito, su estructura de Lewis y su ubicación corresponden a</w:t>
            </w:r>
          </w:p>
          <w:p w14:paraId="2B37BE5C" w14:textId="77777777" w:rsidR="00AA4842" w:rsidRPr="002F41CA" w:rsidRDefault="00AA4842" w:rsidP="00F86432">
            <w:pPr>
              <w:widowControl w:val="0"/>
              <w:spacing w:line="360" w:lineRule="auto"/>
              <w:ind w:left="720"/>
            </w:pPr>
            <w:r w:rsidRPr="002F41CA">
              <w:rPr>
                <w:b/>
                <w:bCs/>
              </w:rPr>
              <w:t>A)</w:t>
            </w:r>
            <w:r w:rsidRPr="002F41CA">
              <w:t xml:space="preserve"> un símbolo químico rodeado por 2 puntos de valencia y se ubica en el período 2.</w:t>
            </w:r>
          </w:p>
          <w:p w14:paraId="148E8BE4" w14:textId="77777777" w:rsidR="00AA4842" w:rsidRPr="002F41CA" w:rsidRDefault="00AA4842" w:rsidP="00F86432">
            <w:pPr>
              <w:widowControl w:val="0"/>
              <w:spacing w:line="360" w:lineRule="auto"/>
              <w:ind w:left="720"/>
            </w:pPr>
            <w:r w:rsidRPr="002F41CA">
              <w:rPr>
                <w:b/>
                <w:bCs/>
              </w:rPr>
              <w:t>B)</w:t>
            </w:r>
            <w:r w:rsidRPr="002F41CA">
              <w:t xml:space="preserve"> un símbolo químico rodeado por 4 puntos de valencia y se ubica en el período 3.</w:t>
            </w:r>
          </w:p>
          <w:p w14:paraId="3B9973B5" w14:textId="77777777" w:rsidR="00AA4842" w:rsidRPr="002F41CA" w:rsidRDefault="00AA4842" w:rsidP="00F86432">
            <w:pPr>
              <w:widowControl w:val="0"/>
              <w:spacing w:line="360" w:lineRule="auto"/>
              <w:ind w:left="720"/>
            </w:pPr>
            <w:r w:rsidRPr="002F41CA">
              <w:rPr>
                <w:b/>
                <w:bCs/>
              </w:rPr>
              <w:t>C)</w:t>
            </w:r>
            <w:r w:rsidRPr="002F41CA">
              <w:t xml:space="preserve"> un símbolo químico rodeado por 6 puntos de valencia y se ubica en el período 4.</w:t>
            </w:r>
          </w:p>
          <w:p w14:paraId="08F8C458" w14:textId="77777777" w:rsidR="00AA4842" w:rsidRPr="002F41CA" w:rsidRDefault="00AA4842" w:rsidP="00F86432">
            <w:pPr>
              <w:widowControl w:val="0"/>
              <w:spacing w:line="360" w:lineRule="auto"/>
              <w:ind w:left="720"/>
            </w:pPr>
            <w:r>
              <w:rPr>
                <w:b/>
                <w:bCs/>
              </w:rPr>
              <w:t>D</w:t>
            </w:r>
            <w:r w:rsidRPr="002F41CA">
              <w:rPr>
                <w:b/>
                <w:bCs/>
              </w:rPr>
              <w:t>)</w:t>
            </w:r>
            <w:r w:rsidRPr="002F41CA">
              <w:t xml:space="preserve"> un símbolo químico rodeado por 6 puntos de valencia y se ubica en el período </w:t>
            </w:r>
            <w:r>
              <w:t>3</w:t>
            </w:r>
            <w:r w:rsidRPr="002F41CA">
              <w:t>.</w:t>
            </w:r>
          </w:p>
          <w:p w14:paraId="4A91126D" w14:textId="77777777" w:rsidR="00AA4842" w:rsidRPr="002F41CA" w:rsidRDefault="00AA4842" w:rsidP="00F86432">
            <w:pPr>
              <w:spacing w:line="360" w:lineRule="auto"/>
            </w:pPr>
          </w:p>
          <w:p w14:paraId="3A7CAAC0" w14:textId="1A583046" w:rsidR="00AA4842" w:rsidRPr="002F41CA" w:rsidRDefault="002F6155" w:rsidP="00F86432">
            <w:pPr>
              <w:widowControl w:val="0"/>
              <w:spacing w:line="360" w:lineRule="auto"/>
            </w:pPr>
            <w:r>
              <w:t xml:space="preserve">Respuesta correcta B. </w:t>
            </w:r>
            <w:r w:rsidR="00F86432">
              <w:t>Justificación:</w:t>
            </w:r>
            <w:r w:rsidR="00F86432" w:rsidRPr="002F41CA">
              <w:t xml:space="preserve"> Los</w:t>
            </w:r>
            <w:r w:rsidR="00AA4842" w:rsidRPr="002F41CA">
              <w:t xml:space="preserve"> electrones de valencia se encuentran en el nivel de energía más alto alcanzado (nivel 3), sumando un total de 4 electrones (2 en s + 2 en p). Por lo tanto, la estructura de Lewis posee 4 puntos periféricos. </w:t>
            </w:r>
            <w:r w:rsidR="00AA4842">
              <w:t>En este caso</w:t>
            </w:r>
            <w:r w:rsidR="00AA4842" w:rsidRPr="002F41CA">
              <w:t xml:space="preserve">, el número cuántico principal máximo (n=3) </w:t>
            </w:r>
            <w:r w:rsidR="00AA4842">
              <w:t xml:space="preserve">permite determinar </w:t>
            </w:r>
            <w:r w:rsidR="00AA4842" w:rsidRPr="002F41CA">
              <w:t xml:space="preserve">que el elemento pertenece de forma fija al período 3 de la </w:t>
            </w:r>
            <w:r w:rsidR="00AA4842">
              <w:t>T</w:t>
            </w:r>
            <w:r w:rsidR="00AA4842" w:rsidRPr="002F41CA">
              <w:t>abla Periódica.</w:t>
            </w:r>
            <w:r w:rsidR="00AA4842">
              <w:t xml:space="preserve"> </w:t>
            </w:r>
          </w:p>
          <w:p w14:paraId="17B37B38" w14:textId="77777777" w:rsidR="00F86432" w:rsidRDefault="00F86432" w:rsidP="00F86432">
            <w:pPr>
              <w:spacing w:line="360" w:lineRule="auto"/>
              <w:jc w:val="both"/>
              <w:rPr>
                <w:rFonts w:cstheme="minorHAnsi"/>
                <w:b/>
                <w:bCs/>
              </w:rPr>
            </w:pPr>
          </w:p>
          <w:p w14:paraId="3D138ECD" w14:textId="2F38236B" w:rsidR="007C7970" w:rsidRPr="007C7970" w:rsidRDefault="007C7970" w:rsidP="00F86432">
            <w:pPr>
              <w:spacing w:line="360" w:lineRule="auto"/>
              <w:jc w:val="both"/>
              <w:rPr>
                <w:rFonts w:cstheme="minorHAnsi"/>
                <w:b/>
                <w:bCs/>
              </w:rPr>
            </w:pPr>
            <w:r w:rsidRPr="007C7970">
              <w:rPr>
                <w:rFonts w:cstheme="minorHAnsi"/>
                <w:b/>
                <w:bCs/>
              </w:rPr>
              <w:t>Recursos para la atención de apoyos educativos (DUA)</w:t>
            </w:r>
          </w:p>
          <w:p w14:paraId="325A2D1C" w14:textId="77777777" w:rsidR="007C7970" w:rsidRPr="007C7970" w:rsidRDefault="007C7970" w:rsidP="00F86432">
            <w:pPr>
              <w:numPr>
                <w:ilvl w:val="0"/>
                <w:numId w:val="13"/>
              </w:numPr>
              <w:spacing w:line="360" w:lineRule="auto"/>
              <w:jc w:val="both"/>
              <w:rPr>
                <w:rFonts w:cstheme="minorHAnsi"/>
              </w:rPr>
            </w:pPr>
            <w:r w:rsidRPr="007C7970">
              <w:rPr>
                <w:rFonts w:cstheme="minorHAnsi"/>
                <w:b/>
                <w:bCs/>
              </w:rPr>
              <w:t>Tableros de Configuración Háptica:</w:t>
            </w:r>
            <w:r w:rsidRPr="007C7970">
              <w:rPr>
                <w:rFonts w:cstheme="minorHAnsi"/>
              </w:rPr>
              <w:t xml:space="preserve"> Uso de plantillas físicas perforadas y fichas plásticas de colores texturizados para representar los espines (flechas de subida y bajada) de los orbitales, facilitando que los estudiantes con necesidades de apoyo visual o estilos de aprendizaje táctil comprendan de manera concreta la regla de Hund y el principio de exclusión de Pauli. </w:t>
            </w:r>
          </w:p>
          <w:p w14:paraId="48814E75" w14:textId="28400B7E" w:rsidR="007C7970" w:rsidRPr="007C7970" w:rsidRDefault="007C7970" w:rsidP="00F86432">
            <w:pPr>
              <w:numPr>
                <w:ilvl w:val="0"/>
                <w:numId w:val="13"/>
              </w:numPr>
              <w:spacing w:line="360" w:lineRule="auto"/>
              <w:jc w:val="both"/>
              <w:rPr>
                <w:rFonts w:cstheme="minorHAnsi"/>
              </w:rPr>
            </w:pPr>
            <w:r w:rsidRPr="007C7970">
              <w:rPr>
                <w:rFonts w:cstheme="minorHAnsi"/>
                <w:b/>
                <w:bCs/>
              </w:rPr>
              <w:t>Guías Macrotipo con Andamiaje Simbólico:</w:t>
            </w:r>
            <w:r w:rsidRPr="007C7970">
              <w:rPr>
                <w:rFonts w:cstheme="minorHAnsi"/>
              </w:rPr>
              <w:t xml:space="preserve"> Hojas de práctica impresas con tipografía Arial 18, donde el superíndice x del formato </w:t>
            </w:r>
            <w:proofErr w:type="spellStart"/>
            <w:r w:rsidRPr="007C7970">
              <w:rPr>
                <w:rFonts w:cstheme="minorHAnsi"/>
              </w:rPr>
              <w:t>nl</w:t>
            </w:r>
            <w:r w:rsidR="00032217">
              <w:rPr>
                <w:rFonts w:cstheme="minorHAnsi"/>
                <w:vertAlign w:val="superscript"/>
              </w:rPr>
              <w:t>x</w:t>
            </w:r>
            <w:proofErr w:type="spellEnd"/>
            <w:r w:rsidRPr="007C7970">
              <w:rPr>
                <w:rFonts w:cstheme="minorHAnsi"/>
              </w:rPr>
              <w:t xml:space="preserve"> aparece sombreado con fondos de color diferenciados para evitar </w:t>
            </w:r>
            <w:r w:rsidRPr="007C7970">
              <w:rPr>
                <w:rFonts w:cstheme="minorHAnsi"/>
              </w:rPr>
              <w:lastRenderedPageBreak/>
              <w:t xml:space="preserve">confusiones visoespaciales en el conteo de los electrones de valencia de metales de transición o elementos representativos. </w:t>
            </w:r>
          </w:p>
          <w:p w14:paraId="23ABBCB1" w14:textId="77777777" w:rsidR="007C7970" w:rsidRPr="007C7970" w:rsidRDefault="007C7970" w:rsidP="00F86432">
            <w:pPr>
              <w:spacing w:line="360" w:lineRule="auto"/>
              <w:jc w:val="both"/>
              <w:rPr>
                <w:rFonts w:cstheme="minorHAnsi"/>
                <w:b/>
                <w:bCs/>
              </w:rPr>
            </w:pPr>
            <w:r w:rsidRPr="007C7970">
              <w:rPr>
                <w:rFonts w:cstheme="minorHAnsi"/>
                <w:b/>
                <w:bCs/>
              </w:rPr>
              <w:t>Materiales de profundización</w:t>
            </w:r>
          </w:p>
          <w:p w14:paraId="0E729225" w14:textId="4A646AF0" w:rsidR="007C7970" w:rsidRDefault="007C7970" w:rsidP="00F86432">
            <w:pPr>
              <w:numPr>
                <w:ilvl w:val="0"/>
                <w:numId w:val="14"/>
              </w:numPr>
              <w:spacing w:line="360" w:lineRule="auto"/>
              <w:jc w:val="both"/>
              <w:rPr>
                <w:rFonts w:cstheme="minorHAnsi"/>
              </w:rPr>
            </w:pPr>
            <w:r w:rsidRPr="007C7970">
              <w:rPr>
                <w:rFonts w:cstheme="minorHAnsi"/>
                <w:b/>
                <w:bCs/>
              </w:rPr>
              <w:t>Estudio Técnico de las Anomalías Cuánticas:</w:t>
            </w:r>
            <w:r w:rsidRPr="007C7970">
              <w:rPr>
                <w:rFonts w:cstheme="minorHAnsi"/>
              </w:rPr>
              <w:t xml:space="preserve"> Guía científica complementaria orientada a estudiantes con un nivel de desempeño avanzado. El recurso plantea el análisis explicativo de la configuración electrónica del Cobre </w:t>
            </w:r>
            <w:r w:rsidR="00032217">
              <w:rPr>
                <w:rFonts w:cstheme="minorHAnsi"/>
              </w:rPr>
              <w:t>(</w:t>
            </w:r>
            <w:r w:rsidRPr="007C7970">
              <w:rPr>
                <w:rFonts w:cstheme="minorHAnsi"/>
              </w:rPr>
              <w:t>Cu</w:t>
            </w:r>
            <w:r w:rsidR="000005C8">
              <w:rPr>
                <w:rFonts w:cstheme="minorHAnsi"/>
              </w:rPr>
              <w:t xml:space="preserve">, </w:t>
            </w:r>
            <w:r w:rsidRPr="007C7970">
              <w:rPr>
                <w:rFonts w:cstheme="minorHAnsi"/>
              </w:rPr>
              <w:t xml:space="preserve">Z = 29) y del Cromo (Cr, Z = 24), requiriendo que los estudiantes argumenten por qué la migración de un electrón del subnivel s al subnivel d genera una mayor estabilidad termodinámica industrial, rompiendo el ordenamiento tradicional del principio de Aufbau. </w:t>
            </w:r>
          </w:p>
          <w:p w14:paraId="5534EF39" w14:textId="77777777" w:rsidR="00B160C7" w:rsidRPr="00B160C7" w:rsidRDefault="00B160C7" w:rsidP="00B160C7">
            <w:pPr>
              <w:pStyle w:val="Ttulo2"/>
              <w:spacing w:before="0" w:line="300" w:lineRule="auto"/>
              <w:rPr>
                <w:rFonts w:asciiTheme="minorHAnsi" w:hAnsiTheme="minorHAnsi" w:cstheme="minorHAnsi"/>
                <w:b/>
                <w:bCs/>
                <w:color w:val="auto"/>
                <w:sz w:val="22"/>
                <w:szCs w:val="22"/>
              </w:rPr>
            </w:pPr>
            <w:r w:rsidRPr="00B160C7">
              <w:rPr>
                <w:rFonts w:asciiTheme="minorHAnsi" w:hAnsiTheme="minorHAnsi" w:cstheme="minorHAnsi"/>
                <w:b/>
                <w:bCs/>
                <w:color w:val="auto"/>
                <w:sz w:val="22"/>
                <w:szCs w:val="22"/>
              </w:rPr>
              <w:t>Recursos MEP</w:t>
            </w:r>
          </w:p>
          <w:p w14:paraId="6ACA343F" w14:textId="77777777" w:rsidR="00B160C7" w:rsidRDefault="00B160C7" w:rsidP="00B160C7">
            <w:pPr>
              <w:pBdr>
                <w:top w:val="nil"/>
                <w:left w:val="nil"/>
                <w:bottom w:val="nil"/>
                <w:right w:val="nil"/>
                <w:between w:val="nil"/>
              </w:pBdr>
              <w:spacing w:line="300" w:lineRule="auto"/>
              <w:jc w:val="both"/>
            </w:pPr>
            <w:r w:rsidRPr="00A17184">
              <w:t>A continuación, se comparten valiosos enlaces del repositorio del MEP y el recurso de la Tabla Periódica Muda, con el fin de apoyar a la persona docente en el desarrollo de su práctica educativa diaria y en la diversificación de sus actividades de aula</w:t>
            </w:r>
            <w:r>
              <w:t>.</w:t>
            </w:r>
          </w:p>
          <w:p w14:paraId="7B465B99" w14:textId="77777777" w:rsidR="00B160C7" w:rsidRPr="007C7970" w:rsidRDefault="00B160C7" w:rsidP="00B160C7">
            <w:pPr>
              <w:spacing w:line="360" w:lineRule="auto"/>
              <w:ind w:left="720"/>
              <w:jc w:val="both"/>
              <w:rPr>
                <w:rFonts w:cstheme="minorHAnsi"/>
              </w:rPr>
            </w:pPr>
          </w:p>
          <w:p w14:paraId="0A6E17DC" w14:textId="77777777" w:rsidR="00CC32CE" w:rsidRDefault="00CC32CE" w:rsidP="00CC32CE">
            <w:pPr>
              <w:pBdr>
                <w:top w:val="nil"/>
                <w:left w:val="nil"/>
                <w:bottom w:val="nil"/>
                <w:right w:val="nil"/>
                <w:between w:val="nil"/>
              </w:pBdr>
              <w:spacing w:line="300" w:lineRule="auto"/>
              <w:jc w:val="both"/>
            </w:pPr>
            <w:hyperlink r:id="rId11" w:history="1">
              <w:proofErr w:type="spellStart"/>
              <w:r w:rsidRPr="00FB53C8">
                <w:rPr>
                  <w:rStyle w:val="Hipervnculo"/>
                </w:rPr>
                <w:t>AprendizUp</w:t>
              </w:r>
              <w:proofErr w:type="spellEnd"/>
            </w:hyperlink>
          </w:p>
          <w:p w14:paraId="3C95FD8E" w14:textId="77777777" w:rsidR="00CC32CE" w:rsidRDefault="00CC32CE" w:rsidP="00CC32CE">
            <w:pPr>
              <w:pBdr>
                <w:top w:val="nil"/>
                <w:left w:val="nil"/>
                <w:bottom w:val="nil"/>
                <w:right w:val="nil"/>
                <w:between w:val="nil"/>
              </w:pBdr>
              <w:spacing w:line="300" w:lineRule="auto"/>
              <w:jc w:val="both"/>
            </w:pPr>
          </w:p>
          <w:p w14:paraId="612D17FC" w14:textId="77777777" w:rsidR="00CC32CE" w:rsidRDefault="00CC32CE" w:rsidP="00CC32CE">
            <w:pPr>
              <w:pBdr>
                <w:top w:val="nil"/>
                <w:left w:val="nil"/>
                <w:bottom w:val="nil"/>
                <w:right w:val="nil"/>
                <w:between w:val="nil"/>
              </w:pBdr>
              <w:spacing w:line="300" w:lineRule="auto"/>
              <w:jc w:val="both"/>
            </w:pPr>
            <w:hyperlink r:id="rId12" w:history="1">
              <w:r w:rsidRPr="00095328">
                <w:rPr>
                  <w:rStyle w:val="Hipervnculo"/>
                  <w:lang w:val="es-ES"/>
                </w:rPr>
                <w:t>Tabla Periódica: generalidades | Ministerio de Educación Pública</w:t>
              </w:r>
            </w:hyperlink>
          </w:p>
          <w:p w14:paraId="19FE11DD" w14:textId="77777777" w:rsidR="00CC32CE" w:rsidRPr="00095328" w:rsidRDefault="00CC32CE" w:rsidP="00CC32CE">
            <w:pPr>
              <w:widowControl w:val="0"/>
              <w:pBdr>
                <w:top w:val="nil"/>
                <w:left w:val="nil"/>
                <w:bottom w:val="nil"/>
                <w:right w:val="nil"/>
                <w:between w:val="nil"/>
              </w:pBdr>
              <w:spacing w:line="300" w:lineRule="auto"/>
              <w:jc w:val="both"/>
            </w:pPr>
          </w:p>
          <w:p w14:paraId="430013AB" w14:textId="77777777" w:rsidR="00CC32CE" w:rsidRDefault="00CC32CE" w:rsidP="00CC32CE">
            <w:pPr>
              <w:pBdr>
                <w:top w:val="nil"/>
                <w:left w:val="nil"/>
                <w:bottom w:val="nil"/>
                <w:right w:val="nil"/>
                <w:between w:val="nil"/>
              </w:pBdr>
              <w:spacing w:line="300" w:lineRule="auto"/>
              <w:jc w:val="both"/>
            </w:pPr>
            <w:hyperlink r:id="rId13" w:history="1">
              <w:r w:rsidRPr="00CC32CE">
                <w:rPr>
                  <w:rStyle w:val="Hipervnculo"/>
                </w:rPr>
                <w:t xml:space="preserve">3D </w:t>
              </w:r>
            </w:hyperlink>
            <w:hyperlink r:id="rId14" w:history="1">
              <w:proofErr w:type="spellStart"/>
              <w:r w:rsidRPr="00CC32CE">
                <w:rPr>
                  <w:rStyle w:val="Hipervnculo"/>
                </w:rPr>
                <w:t>Periodic</w:t>
              </w:r>
              <w:proofErr w:type="spellEnd"/>
            </w:hyperlink>
            <w:hyperlink r:id="rId15" w:history="1">
              <w:r w:rsidRPr="00CC32CE">
                <w:rPr>
                  <w:rStyle w:val="Hipervnculo"/>
                </w:rPr>
                <w:t xml:space="preserve"> Table</w:t>
              </w:r>
            </w:hyperlink>
          </w:p>
          <w:p w14:paraId="74FF4C6D" w14:textId="77777777" w:rsidR="00CC32CE" w:rsidRDefault="00CC32CE" w:rsidP="00CC32CE">
            <w:pPr>
              <w:pBdr>
                <w:top w:val="nil"/>
                <w:left w:val="nil"/>
                <w:bottom w:val="nil"/>
                <w:right w:val="nil"/>
                <w:between w:val="nil"/>
              </w:pBdr>
              <w:spacing w:line="300" w:lineRule="auto"/>
              <w:jc w:val="both"/>
            </w:pPr>
          </w:p>
          <w:p w14:paraId="0123F27A" w14:textId="77777777" w:rsidR="00CC32CE" w:rsidRPr="00CC32CE" w:rsidRDefault="00CC32CE" w:rsidP="00CC32CE">
            <w:pPr>
              <w:pBdr>
                <w:top w:val="nil"/>
                <w:left w:val="nil"/>
                <w:bottom w:val="nil"/>
                <w:right w:val="nil"/>
                <w:between w:val="nil"/>
              </w:pBdr>
              <w:spacing w:line="300" w:lineRule="auto"/>
              <w:jc w:val="both"/>
            </w:pPr>
            <w:hyperlink r:id="rId16" w:history="1">
              <w:proofErr w:type="spellStart"/>
              <w:r w:rsidRPr="00EB6E22">
                <w:rPr>
                  <w:rStyle w:val="Hipervnculo"/>
                </w:rPr>
                <w:t>Educatico</w:t>
              </w:r>
              <w:proofErr w:type="spellEnd"/>
              <w:r w:rsidRPr="00EB6E22">
                <w:rPr>
                  <w:rStyle w:val="Hipervnculo"/>
                </w:rPr>
                <w:t xml:space="preserve"> | Ministerio de Educación Pública</w:t>
              </w:r>
            </w:hyperlink>
          </w:p>
          <w:p w14:paraId="5B19F5FB" w14:textId="77777777" w:rsidR="00CC32CE" w:rsidRPr="00CC32CE" w:rsidRDefault="00CC32CE" w:rsidP="00CC32CE">
            <w:pPr>
              <w:pBdr>
                <w:top w:val="nil"/>
                <w:left w:val="nil"/>
                <w:bottom w:val="nil"/>
                <w:right w:val="nil"/>
                <w:between w:val="nil"/>
              </w:pBdr>
              <w:spacing w:line="300" w:lineRule="auto"/>
              <w:jc w:val="both"/>
            </w:pPr>
          </w:p>
          <w:p w14:paraId="0DFE78DA" w14:textId="77777777" w:rsidR="00CC32CE" w:rsidRDefault="00CC32CE" w:rsidP="00CC32CE">
            <w:pPr>
              <w:pBdr>
                <w:top w:val="nil"/>
                <w:left w:val="nil"/>
                <w:bottom w:val="nil"/>
                <w:right w:val="nil"/>
                <w:between w:val="nil"/>
              </w:pBdr>
              <w:spacing w:line="300" w:lineRule="auto"/>
              <w:jc w:val="both"/>
              <w:rPr>
                <w:lang w:val="en-US"/>
              </w:rPr>
            </w:pPr>
            <w:hyperlink r:id="rId17" w:history="1">
              <w:r w:rsidRPr="00AF439D">
                <w:rPr>
                  <w:rStyle w:val="Hipervnculo"/>
                </w:rPr>
                <w:t>Filtros - Simulaciones Interactivas PhET</w:t>
              </w:r>
            </w:hyperlink>
          </w:p>
          <w:p w14:paraId="766EF9E4" w14:textId="77777777" w:rsidR="00CC32CE" w:rsidRDefault="00CC32CE" w:rsidP="00CC32CE">
            <w:pPr>
              <w:pBdr>
                <w:top w:val="nil"/>
                <w:left w:val="nil"/>
                <w:bottom w:val="nil"/>
                <w:right w:val="nil"/>
                <w:between w:val="nil"/>
              </w:pBdr>
              <w:spacing w:line="300" w:lineRule="auto"/>
              <w:jc w:val="both"/>
              <w:rPr>
                <w:lang w:val="en-US"/>
              </w:rPr>
            </w:pPr>
          </w:p>
          <w:p w14:paraId="1A759099" w14:textId="77777777" w:rsidR="00CC32CE" w:rsidRPr="003449E0" w:rsidRDefault="00CC32CE" w:rsidP="00CC32CE">
            <w:pPr>
              <w:widowControl w:val="0"/>
              <w:pBdr>
                <w:top w:val="nil"/>
                <w:left w:val="nil"/>
                <w:bottom w:val="nil"/>
                <w:right w:val="nil"/>
                <w:between w:val="nil"/>
              </w:pBdr>
              <w:spacing w:line="300" w:lineRule="auto"/>
              <w:jc w:val="both"/>
              <w:rPr>
                <w:lang w:val="en-US"/>
              </w:rPr>
            </w:pPr>
            <w:r w:rsidRPr="00C50185">
              <w:rPr>
                <w:noProof/>
                <w:lang w:val="en-US"/>
              </w:rPr>
              <w:lastRenderedPageBreak/>
              <w:drawing>
                <wp:inline distT="0" distB="0" distL="0" distR="0" wp14:anchorId="4CF57BE0" wp14:editId="2CBBC2D9">
                  <wp:extent cx="4356100" cy="2876609"/>
                  <wp:effectExtent l="0" t="0" r="6350" b="0"/>
                  <wp:docPr id="2881091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09103" name=""/>
                          <pic:cNvPicPr/>
                        </pic:nvPicPr>
                        <pic:blipFill>
                          <a:blip r:embed="rId18"/>
                          <a:stretch>
                            <a:fillRect/>
                          </a:stretch>
                        </pic:blipFill>
                        <pic:spPr>
                          <a:xfrm>
                            <a:off x="0" y="0"/>
                            <a:ext cx="4364209" cy="2881964"/>
                          </a:xfrm>
                          <a:prstGeom prst="rect">
                            <a:avLst/>
                          </a:prstGeom>
                        </pic:spPr>
                      </pic:pic>
                    </a:graphicData>
                  </a:graphic>
                </wp:inline>
              </w:drawing>
            </w:r>
          </w:p>
          <w:p w14:paraId="5555F03E" w14:textId="31190554" w:rsidR="009A5158" w:rsidRPr="007C7970" w:rsidRDefault="009A5158" w:rsidP="00F86432">
            <w:pPr>
              <w:spacing w:line="360" w:lineRule="auto"/>
              <w:jc w:val="both"/>
              <w:rPr>
                <w:rFonts w:cstheme="minorHAnsi"/>
              </w:rPr>
            </w:pPr>
          </w:p>
        </w:tc>
      </w:tr>
      <w:tr w:rsidR="007D06AA" w:rsidRPr="00EC397E" w14:paraId="276D956C" w14:textId="77777777" w:rsidTr="00980E2B">
        <w:tc>
          <w:tcPr>
            <w:tcW w:w="10348" w:type="dxa"/>
            <w:gridSpan w:val="3"/>
          </w:tcPr>
          <w:p w14:paraId="488EC021" w14:textId="6BFA47CE" w:rsidR="007D06AA" w:rsidRPr="00EC397E" w:rsidRDefault="007D06AA" w:rsidP="000065EF">
            <w:pPr>
              <w:jc w:val="center"/>
              <w:rPr>
                <w:rFonts w:cstheme="minorHAnsi"/>
                <w:b/>
                <w:bCs/>
                <w:color w:val="0070C0"/>
                <w:lang w:val="es-ES"/>
              </w:rPr>
            </w:pPr>
            <w:r w:rsidRPr="00EC397E">
              <w:rPr>
                <w:rFonts w:cstheme="minorHAnsi"/>
                <w:b/>
                <w:bCs/>
                <w:lang w:val="es-ES"/>
              </w:rPr>
              <w:lastRenderedPageBreak/>
              <w:t>Bibliografía</w:t>
            </w:r>
          </w:p>
        </w:tc>
      </w:tr>
      <w:tr w:rsidR="000065EF" w:rsidRPr="00EC397E" w14:paraId="2ABF575B" w14:textId="77777777" w:rsidTr="00980E2B">
        <w:tc>
          <w:tcPr>
            <w:tcW w:w="10348" w:type="dxa"/>
            <w:gridSpan w:val="3"/>
          </w:tcPr>
          <w:p w14:paraId="6ECC32A2" w14:textId="7F770084" w:rsidR="000065EF" w:rsidRPr="00EC397E" w:rsidRDefault="007C0A12" w:rsidP="007C0A12">
            <w:pPr>
              <w:pStyle w:val="Prrafodelista"/>
              <w:numPr>
                <w:ilvl w:val="0"/>
                <w:numId w:val="4"/>
              </w:numPr>
              <w:spacing w:line="360" w:lineRule="auto"/>
              <w:rPr>
                <w:rFonts w:cstheme="minorHAnsi"/>
                <w:lang w:val="es-ES"/>
              </w:rPr>
            </w:pPr>
            <w:r w:rsidRPr="002B3328">
              <w:rPr>
                <w:rFonts w:cstheme="minorHAnsi"/>
              </w:rPr>
              <w:t xml:space="preserve">Ministerio de Educación Pública de Costa Rica. (2017). </w:t>
            </w:r>
            <w:r w:rsidRPr="002B3328">
              <w:rPr>
                <w:rFonts w:cstheme="minorHAnsi"/>
                <w:i/>
                <w:iCs/>
              </w:rPr>
              <w:t>Programa de Estudio de Química: Educación Diversificada</w:t>
            </w:r>
            <w:r w:rsidRPr="002B3328">
              <w:rPr>
                <w:rFonts w:cstheme="minorHAnsi"/>
              </w:rPr>
              <w:t>. San José, Costa Rica: Dirección de Desarrollo Curricular.</w:t>
            </w:r>
          </w:p>
        </w:tc>
      </w:tr>
    </w:tbl>
    <w:p w14:paraId="1878DF94" w14:textId="77777777" w:rsidR="00D54ABF" w:rsidRPr="00EB0252" w:rsidRDefault="00D54ABF" w:rsidP="00D54ABF">
      <w:pPr>
        <w:rPr>
          <w:rFonts w:ascii="Arial" w:hAnsi="Arial" w:cs="Arial"/>
          <w:lang w:val="es-ES"/>
        </w:rPr>
      </w:pPr>
    </w:p>
    <w:bookmarkEnd w:id="0"/>
    <w:p w14:paraId="53BC0401" w14:textId="77777777" w:rsidR="004341AE" w:rsidRPr="00EB0252" w:rsidRDefault="004341AE" w:rsidP="00EE6E95">
      <w:pPr>
        <w:spacing w:after="0" w:line="240" w:lineRule="auto"/>
        <w:jc w:val="both"/>
        <w:rPr>
          <w:rFonts w:ascii="Arial" w:hAnsi="Arial" w:cs="Arial"/>
          <w:b/>
          <w:bCs/>
        </w:rPr>
      </w:pPr>
    </w:p>
    <w:p w14:paraId="7FB51399" w14:textId="77777777" w:rsidR="009452CC" w:rsidRPr="00EB0252" w:rsidRDefault="009452CC" w:rsidP="00EE6E95">
      <w:pPr>
        <w:spacing w:after="0" w:line="240" w:lineRule="auto"/>
        <w:jc w:val="both"/>
        <w:rPr>
          <w:rFonts w:ascii="Arial" w:hAnsi="Arial" w:cs="Arial"/>
          <w:b/>
          <w:bCs/>
        </w:rPr>
      </w:pPr>
    </w:p>
    <w:p w14:paraId="493E60E2" w14:textId="77777777" w:rsidR="009452CC" w:rsidRPr="00EB0252" w:rsidRDefault="009452CC" w:rsidP="00EE6E95">
      <w:pPr>
        <w:spacing w:after="0" w:line="240" w:lineRule="auto"/>
        <w:jc w:val="both"/>
        <w:rPr>
          <w:rFonts w:ascii="Arial" w:hAnsi="Arial" w:cs="Arial"/>
          <w:b/>
          <w:bCs/>
        </w:rPr>
      </w:pPr>
    </w:p>
    <w:p w14:paraId="1A7FFAF7" w14:textId="77777777" w:rsidR="009452CC" w:rsidRPr="00EB0252" w:rsidRDefault="009452CC" w:rsidP="00EE6E95">
      <w:pPr>
        <w:spacing w:after="0" w:line="240" w:lineRule="auto"/>
        <w:jc w:val="both"/>
        <w:rPr>
          <w:rFonts w:ascii="Arial" w:hAnsi="Arial" w:cs="Arial"/>
          <w:b/>
          <w:bCs/>
        </w:rPr>
      </w:pPr>
    </w:p>
    <w:p w14:paraId="2F27733C" w14:textId="1DFC3FC1" w:rsidR="009452CC" w:rsidRDefault="00193955"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153E9C3B" w:rsidR="009452CC" w:rsidRDefault="009452CC" w:rsidP="00EE6E95">
      <w:pPr>
        <w:spacing w:after="0" w:line="240" w:lineRule="auto"/>
        <w:jc w:val="both"/>
        <w:rPr>
          <w:rFonts w:ascii="Arial" w:hAnsi="Arial" w:cs="Arial"/>
          <w:b/>
          <w:bCs/>
          <w:sz w:val="24"/>
          <w:szCs w:val="24"/>
        </w:rPr>
      </w:pPr>
    </w:p>
    <w:p w14:paraId="3B7CB81A" w14:textId="24BE332A" w:rsidR="009452CC" w:rsidRDefault="009452CC" w:rsidP="00EE6E95">
      <w:pPr>
        <w:spacing w:after="0" w:line="240" w:lineRule="auto"/>
        <w:jc w:val="both"/>
        <w:rPr>
          <w:rFonts w:ascii="Arial" w:hAnsi="Arial" w:cs="Arial"/>
          <w:b/>
          <w:bCs/>
          <w:sz w:val="24"/>
          <w:szCs w:val="24"/>
        </w:rPr>
      </w:pPr>
    </w:p>
    <w:sectPr w:rsidR="009452CC" w:rsidSect="00F32602">
      <w:headerReference w:type="default" r:id="rId20"/>
      <w:footerReference w:type="default" r:id="rId21"/>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92E6E" w14:textId="77777777" w:rsidR="00734A9F" w:rsidRPr="00752D17" w:rsidRDefault="00734A9F" w:rsidP="006526DF">
      <w:pPr>
        <w:spacing w:after="0" w:line="240" w:lineRule="auto"/>
      </w:pPr>
      <w:r w:rsidRPr="00752D17">
        <w:separator/>
      </w:r>
    </w:p>
  </w:endnote>
  <w:endnote w:type="continuationSeparator" w:id="0">
    <w:p w14:paraId="028646E1" w14:textId="77777777" w:rsidR="00734A9F" w:rsidRPr="00752D17" w:rsidRDefault="00734A9F"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212F1B"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DE826" w14:textId="77777777" w:rsidR="00734A9F" w:rsidRPr="00752D17" w:rsidRDefault="00734A9F" w:rsidP="006526DF">
      <w:pPr>
        <w:spacing w:after="0" w:line="240" w:lineRule="auto"/>
      </w:pPr>
      <w:r w:rsidRPr="00752D17">
        <w:separator/>
      </w:r>
    </w:p>
  </w:footnote>
  <w:footnote w:type="continuationSeparator" w:id="0">
    <w:p w14:paraId="427F5A19" w14:textId="77777777" w:rsidR="00734A9F" w:rsidRPr="00752D17" w:rsidRDefault="00734A9F"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11DD3"/>
    <w:multiLevelType w:val="multilevel"/>
    <w:tmpl w:val="B0A4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A4699B"/>
    <w:multiLevelType w:val="hybridMultilevel"/>
    <w:tmpl w:val="81A035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38347330"/>
    <w:multiLevelType w:val="multilevel"/>
    <w:tmpl w:val="AF0A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59633C"/>
    <w:multiLevelType w:val="multilevel"/>
    <w:tmpl w:val="82B4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D6592"/>
    <w:multiLevelType w:val="multilevel"/>
    <w:tmpl w:val="C81E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AA66D9"/>
    <w:multiLevelType w:val="multilevel"/>
    <w:tmpl w:val="C2B67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2D6BFD"/>
    <w:multiLevelType w:val="multilevel"/>
    <w:tmpl w:val="330A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D60EDD"/>
    <w:multiLevelType w:val="multilevel"/>
    <w:tmpl w:val="C7AC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AC2135"/>
    <w:multiLevelType w:val="multilevel"/>
    <w:tmpl w:val="417A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7BFB1668"/>
    <w:multiLevelType w:val="multilevel"/>
    <w:tmpl w:val="8954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DD3651"/>
    <w:multiLevelType w:val="multilevel"/>
    <w:tmpl w:val="1760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3572385">
    <w:abstractNumId w:val="2"/>
  </w:num>
  <w:num w:numId="2" w16cid:durableId="289484402">
    <w:abstractNumId w:val="11"/>
  </w:num>
  <w:num w:numId="3" w16cid:durableId="739717380">
    <w:abstractNumId w:val="3"/>
  </w:num>
  <w:num w:numId="4" w16cid:durableId="1015377533">
    <w:abstractNumId w:val="1"/>
  </w:num>
  <w:num w:numId="5" w16cid:durableId="637488699">
    <w:abstractNumId w:val="4"/>
  </w:num>
  <w:num w:numId="6" w16cid:durableId="1893617497">
    <w:abstractNumId w:val="12"/>
  </w:num>
  <w:num w:numId="7" w16cid:durableId="824665643">
    <w:abstractNumId w:val="9"/>
  </w:num>
  <w:num w:numId="8" w16cid:durableId="479813122">
    <w:abstractNumId w:val="10"/>
  </w:num>
  <w:num w:numId="9" w16cid:durableId="164982320">
    <w:abstractNumId w:val="7"/>
  </w:num>
  <w:num w:numId="10" w16cid:durableId="1139225273">
    <w:abstractNumId w:val="6"/>
  </w:num>
  <w:num w:numId="11" w16cid:durableId="1148323982">
    <w:abstractNumId w:val="0"/>
  </w:num>
  <w:num w:numId="12" w16cid:durableId="898399763">
    <w:abstractNumId w:val="8"/>
  </w:num>
  <w:num w:numId="13" w16cid:durableId="1299872260">
    <w:abstractNumId w:val="13"/>
  </w:num>
  <w:num w:numId="14" w16cid:durableId="80655269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05C8"/>
    <w:rsid w:val="000065EF"/>
    <w:rsid w:val="000117F0"/>
    <w:rsid w:val="00014CAC"/>
    <w:rsid w:val="000205E4"/>
    <w:rsid w:val="0002322A"/>
    <w:rsid w:val="00032217"/>
    <w:rsid w:val="00057B1F"/>
    <w:rsid w:val="00060E20"/>
    <w:rsid w:val="00064934"/>
    <w:rsid w:val="00066FF4"/>
    <w:rsid w:val="00070021"/>
    <w:rsid w:val="00071996"/>
    <w:rsid w:val="000806AF"/>
    <w:rsid w:val="000832D1"/>
    <w:rsid w:val="00095B3C"/>
    <w:rsid w:val="000A1243"/>
    <w:rsid w:val="000B40FF"/>
    <w:rsid w:val="000B77F0"/>
    <w:rsid w:val="000C641D"/>
    <w:rsid w:val="000E157E"/>
    <w:rsid w:val="000E7888"/>
    <w:rsid w:val="000F3CED"/>
    <w:rsid w:val="000F6C13"/>
    <w:rsid w:val="001149DC"/>
    <w:rsid w:val="00131446"/>
    <w:rsid w:val="00131A5A"/>
    <w:rsid w:val="00134143"/>
    <w:rsid w:val="00140D11"/>
    <w:rsid w:val="0014775A"/>
    <w:rsid w:val="00166DEC"/>
    <w:rsid w:val="0017134C"/>
    <w:rsid w:val="00173863"/>
    <w:rsid w:val="00175B0E"/>
    <w:rsid w:val="00191364"/>
    <w:rsid w:val="00192FED"/>
    <w:rsid w:val="00193955"/>
    <w:rsid w:val="00193ABE"/>
    <w:rsid w:val="00193EA2"/>
    <w:rsid w:val="0019737D"/>
    <w:rsid w:val="001B38C4"/>
    <w:rsid w:val="001C0031"/>
    <w:rsid w:val="001C7A3B"/>
    <w:rsid w:val="001E7049"/>
    <w:rsid w:val="001F18DC"/>
    <w:rsid w:val="001F206F"/>
    <w:rsid w:val="001F29D2"/>
    <w:rsid w:val="002070CA"/>
    <w:rsid w:val="0023523E"/>
    <w:rsid w:val="002412F7"/>
    <w:rsid w:val="00252F1F"/>
    <w:rsid w:val="00262572"/>
    <w:rsid w:val="00264D56"/>
    <w:rsid w:val="0028260D"/>
    <w:rsid w:val="002921EB"/>
    <w:rsid w:val="002A14DD"/>
    <w:rsid w:val="002A4C79"/>
    <w:rsid w:val="002A576E"/>
    <w:rsid w:val="002C1A85"/>
    <w:rsid w:val="002E1DF2"/>
    <w:rsid w:val="002E3D05"/>
    <w:rsid w:val="002E5E0C"/>
    <w:rsid w:val="002F1DDB"/>
    <w:rsid w:val="002F44A7"/>
    <w:rsid w:val="002F5863"/>
    <w:rsid w:val="002F6155"/>
    <w:rsid w:val="003122EE"/>
    <w:rsid w:val="00354916"/>
    <w:rsid w:val="00357CF4"/>
    <w:rsid w:val="0036316D"/>
    <w:rsid w:val="0038546D"/>
    <w:rsid w:val="00396A17"/>
    <w:rsid w:val="003A26B6"/>
    <w:rsid w:val="003C37FA"/>
    <w:rsid w:val="003C59F0"/>
    <w:rsid w:val="003C626B"/>
    <w:rsid w:val="003D12EF"/>
    <w:rsid w:val="003D4638"/>
    <w:rsid w:val="003D74A3"/>
    <w:rsid w:val="003E38BF"/>
    <w:rsid w:val="003F034A"/>
    <w:rsid w:val="00410C4D"/>
    <w:rsid w:val="00415BC2"/>
    <w:rsid w:val="00430CBD"/>
    <w:rsid w:val="00433E38"/>
    <w:rsid w:val="004341AE"/>
    <w:rsid w:val="0044288F"/>
    <w:rsid w:val="00442BD2"/>
    <w:rsid w:val="004576DA"/>
    <w:rsid w:val="00465BDC"/>
    <w:rsid w:val="004670EF"/>
    <w:rsid w:val="00467818"/>
    <w:rsid w:val="00472CC9"/>
    <w:rsid w:val="00480259"/>
    <w:rsid w:val="00482A9B"/>
    <w:rsid w:val="00483E89"/>
    <w:rsid w:val="004A2A14"/>
    <w:rsid w:val="004B24BD"/>
    <w:rsid w:val="004D0074"/>
    <w:rsid w:val="004D28DD"/>
    <w:rsid w:val="004E586C"/>
    <w:rsid w:val="004F5BB3"/>
    <w:rsid w:val="0050063E"/>
    <w:rsid w:val="0050077D"/>
    <w:rsid w:val="0051244E"/>
    <w:rsid w:val="0051610D"/>
    <w:rsid w:val="00517998"/>
    <w:rsid w:val="00521BFF"/>
    <w:rsid w:val="00564072"/>
    <w:rsid w:val="005664EE"/>
    <w:rsid w:val="00571AF1"/>
    <w:rsid w:val="00575B83"/>
    <w:rsid w:val="0057615A"/>
    <w:rsid w:val="00577638"/>
    <w:rsid w:val="00577B69"/>
    <w:rsid w:val="005808A8"/>
    <w:rsid w:val="00587CCD"/>
    <w:rsid w:val="005918BF"/>
    <w:rsid w:val="005940AE"/>
    <w:rsid w:val="005969FD"/>
    <w:rsid w:val="005A1875"/>
    <w:rsid w:val="005A3232"/>
    <w:rsid w:val="005A60DF"/>
    <w:rsid w:val="005B0EBF"/>
    <w:rsid w:val="005D354B"/>
    <w:rsid w:val="005D3B06"/>
    <w:rsid w:val="005D420E"/>
    <w:rsid w:val="005D5D63"/>
    <w:rsid w:val="00607503"/>
    <w:rsid w:val="00613B25"/>
    <w:rsid w:val="0064068E"/>
    <w:rsid w:val="0064121E"/>
    <w:rsid w:val="00642B74"/>
    <w:rsid w:val="006526DF"/>
    <w:rsid w:val="00661FC5"/>
    <w:rsid w:val="00664544"/>
    <w:rsid w:val="00667B33"/>
    <w:rsid w:val="00671B08"/>
    <w:rsid w:val="006731FA"/>
    <w:rsid w:val="0068700A"/>
    <w:rsid w:val="006A15C9"/>
    <w:rsid w:val="006E0A0F"/>
    <w:rsid w:val="006E0E70"/>
    <w:rsid w:val="006E554D"/>
    <w:rsid w:val="006E5899"/>
    <w:rsid w:val="006E73ED"/>
    <w:rsid w:val="006F1562"/>
    <w:rsid w:val="00710213"/>
    <w:rsid w:val="00711925"/>
    <w:rsid w:val="007135BD"/>
    <w:rsid w:val="0071745B"/>
    <w:rsid w:val="007200EB"/>
    <w:rsid w:val="00731FF9"/>
    <w:rsid w:val="00734A9F"/>
    <w:rsid w:val="007352A4"/>
    <w:rsid w:val="007353E2"/>
    <w:rsid w:val="00746387"/>
    <w:rsid w:val="00746EE0"/>
    <w:rsid w:val="00752D17"/>
    <w:rsid w:val="00752E43"/>
    <w:rsid w:val="0075598E"/>
    <w:rsid w:val="00777157"/>
    <w:rsid w:val="007845CC"/>
    <w:rsid w:val="00791E8D"/>
    <w:rsid w:val="007A128C"/>
    <w:rsid w:val="007B15D4"/>
    <w:rsid w:val="007B669F"/>
    <w:rsid w:val="007C0A12"/>
    <w:rsid w:val="007C7970"/>
    <w:rsid w:val="007D06AA"/>
    <w:rsid w:val="007E08FC"/>
    <w:rsid w:val="007E7788"/>
    <w:rsid w:val="007F515F"/>
    <w:rsid w:val="007F74F0"/>
    <w:rsid w:val="008001E3"/>
    <w:rsid w:val="0080292F"/>
    <w:rsid w:val="00805B0F"/>
    <w:rsid w:val="00810D45"/>
    <w:rsid w:val="0081684B"/>
    <w:rsid w:val="00825B7E"/>
    <w:rsid w:val="008271E3"/>
    <w:rsid w:val="00842703"/>
    <w:rsid w:val="008458B5"/>
    <w:rsid w:val="008474A6"/>
    <w:rsid w:val="0085530D"/>
    <w:rsid w:val="00855C65"/>
    <w:rsid w:val="00855DE7"/>
    <w:rsid w:val="0086165B"/>
    <w:rsid w:val="008776CD"/>
    <w:rsid w:val="0088292F"/>
    <w:rsid w:val="00884AA6"/>
    <w:rsid w:val="008A2170"/>
    <w:rsid w:val="008A43EE"/>
    <w:rsid w:val="008B5D32"/>
    <w:rsid w:val="008C6777"/>
    <w:rsid w:val="008D64D1"/>
    <w:rsid w:val="008E548C"/>
    <w:rsid w:val="008E6C72"/>
    <w:rsid w:val="008F7E15"/>
    <w:rsid w:val="00930424"/>
    <w:rsid w:val="00937FB0"/>
    <w:rsid w:val="009452CC"/>
    <w:rsid w:val="0096177B"/>
    <w:rsid w:val="00961C15"/>
    <w:rsid w:val="009627F9"/>
    <w:rsid w:val="00963123"/>
    <w:rsid w:val="0096582A"/>
    <w:rsid w:val="00976F53"/>
    <w:rsid w:val="00977E0D"/>
    <w:rsid w:val="00980E2B"/>
    <w:rsid w:val="009A00EF"/>
    <w:rsid w:val="009A2925"/>
    <w:rsid w:val="009A5158"/>
    <w:rsid w:val="009A6391"/>
    <w:rsid w:val="009B4F01"/>
    <w:rsid w:val="009C1F4A"/>
    <w:rsid w:val="009D2F90"/>
    <w:rsid w:val="009D3595"/>
    <w:rsid w:val="009D3A99"/>
    <w:rsid w:val="009E2564"/>
    <w:rsid w:val="009F3845"/>
    <w:rsid w:val="009F4C98"/>
    <w:rsid w:val="00A026FE"/>
    <w:rsid w:val="00A23601"/>
    <w:rsid w:val="00A25F40"/>
    <w:rsid w:val="00A51CE9"/>
    <w:rsid w:val="00A56E9E"/>
    <w:rsid w:val="00A67FEC"/>
    <w:rsid w:val="00AA4842"/>
    <w:rsid w:val="00AB59B2"/>
    <w:rsid w:val="00AC5898"/>
    <w:rsid w:val="00AE049E"/>
    <w:rsid w:val="00AE22CA"/>
    <w:rsid w:val="00AE2596"/>
    <w:rsid w:val="00AE2FB6"/>
    <w:rsid w:val="00AE3B45"/>
    <w:rsid w:val="00AE47D1"/>
    <w:rsid w:val="00AF0CE6"/>
    <w:rsid w:val="00B160C7"/>
    <w:rsid w:val="00B338FE"/>
    <w:rsid w:val="00B40428"/>
    <w:rsid w:val="00B577F0"/>
    <w:rsid w:val="00B66DF1"/>
    <w:rsid w:val="00B671C3"/>
    <w:rsid w:val="00B953FB"/>
    <w:rsid w:val="00BB7238"/>
    <w:rsid w:val="00BC5BA4"/>
    <w:rsid w:val="00BC75F6"/>
    <w:rsid w:val="00BD5FCB"/>
    <w:rsid w:val="00BE5A74"/>
    <w:rsid w:val="00C02193"/>
    <w:rsid w:val="00C05E1C"/>
    <w:rsid w:val="00C303E8"/>
    <w:rsid w:val="00C31649"/>
    <w:rsid w:val="00C334A6"/>
    <w:rsid w:val="00C43747"/>
    <w:rsid w:val="00C543B4"/>
    <w:rsid w:val="00C6620D"/>
    <w:rsid w:val="00C671C8"/>
    <w:rsid w:val="00C743E1"/>
    <w:rsid w:val="00C8392F"/>
    <w:rsid w:val="00C95564"/>
    <w:rsid w:val="00CA130B"/>
    <w:rsid w:val="00CA2D4E"/>
    <w:rsid w:val="00CA31A9"/>
    <w:rsid w:val="00CB2ACD"/>
    <w:rsid w:val="00CC32CE"/>
    <w:rsid w:val="00CC3E5D"/>
    <w:rsid w:val="00CC721E"/>
    <w:rsid w:val="00CF3848"/>
    <w:rsid w:val="00D25205"/>
    <w:rsid w:val="00D366E5"/>
    <w:rsid w:val="00D42B30"/>
    <w:rsid w:val="00D51ABB"/>
    <w:rsid w:val="00D54ABF"/>
    <w:rsid w:val="00D635B5"/>
    <w:rsid w:val="00D815D9"/>
    <w:rsid w:val="00D841EA"/>
    <w:rsid w:val="00D921FA"/>
    <w:rsid w:val="00D952DB"/>
    <w:rsid w:val="00DA69D9"/>
    <w:rsid w:val="00DB0BFF"/>
    <w:rsid w:val="00DC0EEB"/>
    <w:rsid w:val="00DD0FFD"/>
    <w:rsid w:val="00DF1781"/>
    <w:rsid w:val="00DF46AE"/>
    <w:rsid w:val="00E148B8"/>
    <w:rsid w:val="00E23AB4"/>
    <w:rsid w:val="00E307A1"/>
    <w:rsid w:val="00E3167D"/>
    <w:rsid w:val="00E4209A"/>
    <w:rsid w:val="00E6271E"/>
    <w:rsid w:val="00E63ED0"/>
    <w:rsid w:val="00E81DF4"/>
    <w:rsid w:val="00E84A0C"/>
    <w:rsid w:val="00EA33A1"/>
    <w:rsid w:val="00EA575C"/>
    <w:rsid w:val="00EB0252"/>
    <w:rsid w:val="00EC15D9"/>
    <w:rsid w:val="00EC202F"/>
    <w:rsid w:val="00EC3092"/>
    <w:rsid w:val="00EC397E"/>
    <w:rsid w:val="00EC4AB4"/>
    <w:rsid w:val="00EE6E95"/>
    <w:rsid w:val="00EF4AAA"/>
    <w:rsid w:val="00EF5E6A"/>
    <w:rsid w:val="00F03DAC"/>
    <w:rsid w:val="00F14E0C"/>
    <w:rsid w:val="00F15C99"/>
    <w:rsid w:val="00F16B31"/>
    <w:rsid w:val="00F17B14"/>
    <w:rsid w:val="00F2005E"/>
    <w:rsid w:val="00F236C4"/>
    <w:rsid w:val="00F237F5"/>
    <w:rsid w:val="00F32602"/>
    <w:rsid w:val="00F346D1"/>
    <w:rsid w:val="00F749C5"/>
    <w:rsid w:val="00F84485"/>
    <w:rsid w:val="00F86432"/>
    <w:rsid w:val="00FA6D3B"/>
    <w:rsid w:val="00FB0BE3"/>
    <w:rsid w:val="00FC0124"/>
    <w:rsid w:val="00FC0A2B"/>
    <w:rsid w:val="00FD1B58"/>
    <w:rsid w:val="00FD6CFE"/>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BB3"/>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577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4Car">
    <w:name w:val="Título 4 Car"/>
    <w:basedOn w:val="Fuentedeprrafopredeter"/>
    <w:link w:val="Ttulo4"/>
    <w:uiPriority w:val="9"/>
    <w:semiHidden/>
    <w:rsid w:val="00B577F0"/>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p.go.cr/educatico/tabla-periodica-configuraciones-electronicas" TargetMode="External"/><Relationship Id="rId13" Type="http://schemas.openxmlformats.org/officeDocument/2006/relationships/hyperlink" Target="https://artsexperiments.withgoogle.com/periodic-table/?exp=true&amp;lang=es"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www.mep.go.cr/educatico/tabla-periodica-generalidades" TargetMode="External"/><Relationship Id="rId17" Type="http://schemas.openxmlformats.org/officeDocument/2006/relationships/hyperlink" Target="https://phet.colorado.edu/es/simulations/filter?subjects=chemistry&amp;type=html" TargetMode="External"/><Relationship Id="rId2" Type="http://schemas.openxmlformats.org/officeDocument/2006/relationships/styles" Target="styles.xml"/><Relationship Id="rId16" Type="http://schemas.openxmlformats.org/officeDocument/2006/relationships/hyperlink" Target="https://www.mep.go.cr/educatico?texto-recursos-todos=Qu%C3%ADmica&amp;audiencia=All&amp;materia=5991&amp;nivel=5961"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rendizup.mep.go.cr/" TargetMode="External"/><Relationship Id="rId5" Type="http://schemas.openxmlformats.org/officeDocument/2006/relationships/footnotes" Target="footnotes.xml"/><Relationship Id="rId15" Type="http://schemas.openxmlformats.org/officeDocument/2006/relationships/hyperlink" Target="https://artsexperiments.withgoogle.com/periodic-table/?exp=true&amp;lang=es" TargetMode="External"/><Relationship Id="rId23" Type="http://schemas.openxmlformats.org/officeDocument/2006/relationships/theme" Target="theme/theme1.xml"/><Relationship Id="rId10" Type="http://schemas.openxmlformats.org/officeDocument/2006/relationships/hyperlink" Target="https://www.mep.go.cr/educatico/tabla-periodica-configuraciones-electronicas"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mep.go.cr/educatico/tabla-periodica-configuraciones-electronicas" TargetMode="External"/><Relationship Id="rId14" Type="http://schemas.openxmlformats.org/officeDocument/2006/relationships/hyperlink" Target="https://artsexperiments.withgoogle.com/periodic-table/?exp=true&amp;lang=e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8</Pages>
  <Words>2105</Words>
  <Characters>11580</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Shirley Guillen Monge</cp:lastModifiedBy>
  <cp:revision>40</cp:revision>
  <cp:lastPrinted>2023-10-03T21:48:00Z</cp:lastPrinted>
  <dcterms:created xsi:type="dcterms:W3CDTF">2026-06-17T17:43:00Z</dcterms:created>
  <dcterms:modified xsi:type="dcterms:W3CDTF">2026-06-18T00:10:00Z</dcterms:modified>
</cp:coreProperties>
</file>